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01" w:rsidRPr="00856883" w:rsidRDefault="00C20201" w:rsidP="00C20201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856883">
        <w:rPr>
          <w:rFonts w:eastAsia="Calibri"/>
          <w:b/>
          <w:bCs/>
          <w:sz w:val="36"/>
          <w:szCs w:val="36"/>
        </w:rPr>
        <w:t>5.</w:t>
      </w:r>
      <w:r w:rsidRPr="00856883">
        <w:rPr>
          <w:rFonts w:eastAsia="Calibri" w:hint="cs"/>
          <w:b/>
          <w:bCs/>
          <w:sz w:val="36"/>
          <w:szCs w:val="36"/>
          <w:cs/>
        </w:rPr>
        <w:t xml:space="preserve"> โครงสร้างของศาลปกครอง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alibri"/>
          <w:sz w:val="32"/>
          <w:szCs w:val="32"/>
        </w:rPr>
        <w:t>2542</w:t>
      </w:r>
      <w:r>
        <w:rPr>
          <w:rFonts w:eastAsia="Calibri" w:hint="cs"/>
          <w:sz w:val="32"/>
          <w:szCs w:val="32"/>
          <w:cs/>
        </w:rPr>
        <w:t xml:space="preserve"> ได้กำหนดโครงสร้างและเขตอำนาจของศาลปกครองไว้ใน “หมวด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 การจัดตั้งและเขตอำนาจศาลปกครอง” โดยได้จัดแบ่งโครงสร้างของศาลปกครองออกเป็น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ชั้น ได้แก่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>) ศาลปกครองชั้นต้น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>) ศาลปกครองสูงสุด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C20201" w:rsidRPr="00E65086" w:rsidRDefault="00C20201" w:rsidP="00C2020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E65086">
        <w:rPr>
          <w:rFonts w:eastAsia="Calibri"/>
          <w:b/>
          <w:bCs/>
          <w:sz w:val="32"/>
          <w:szCs w:val="32"/>
        </w:rPr>
        <w:t>5.1</w:t>
      </w:r>
      <w:r w:rsidRPr="00E65086">
        <w:rPr>
          <w:rFonts w:eastAsia="Calibri" w:hint="cs"/>
          <w:b/>
          <w:bCs/>
          <w:sz w:val="32"/>
          <w:szCs w:val="32"/>
          <w:cs/>
        </w:rPr>
        <w:t xml:space="preserve"> ศาลปกครองชั้นต้น</w:t>
      </w:r>
    </w:p>
    <w:p w:rsidR="00C20201" w:rsidRPr="00185740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  <w:cs/>
        </w:rPr>
      </w:pPr>
      <w:r>
        <w:rPr>
          <w:rFonts w:eastAsia="Calibri" w:hint="cs"/>
          <w:sz w:val="32"/>
          <w:szCs w:val="32"/>
          <w:cs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alibri"/>
          <w:sz w:val="32"/>
          <w:szCs w:val="32"/>
        </w:rPr>
        <w:t>2542</w:t>
      </w:r>
      <w:r>
        <w:rPr>
          <w:rFonts w:eastAsia="Calibri" w:hint="cs"/>
          <w:sz w:val="32"/>
          <w:szCs w:val="32"/>
          <w:cs/>
        </w:rPr>
        <w:t xml:space="preserve"> มาตรา </w:t>
      </w:r>
      <w:r>
        <w:rPr>
          <w:rFonts w:eastAsia="Calibri"/>
          <w:sz w:val="32"/>
          <w:szCs w:val="32"/>
        </w:rPr>
        <w:t>7</w:t>
      </w:r>
      <w:r>
        <w:rPr>
          <w:rFonts w:eastAsia="Calibri" w:hint="cs"/>
          <w:sz w:val="32"/>
          <w:szCs w:val="32"/>
          <w:cs/>
        </w:rPr>
        <w:t xml:space="preserve"> ได้กำหนดให้ศาลปกครองชั้นต้นมีอยู่ด้วยกัน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 ประเภท ได้แก่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) ศาลปกครองกลาง และ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>) ศาลปกครองในภูมิภาค ดังนี้</w:t>
      </w:r>
    </w:p>
    <w:p w:rsidR="00C20201" w:rsidRPr="0059164B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  <w:cs/>
        </w:rPr>
      </w:pPr>
      <w:r w:rsidRPr="00E65086">
        <w:rPr>
          <w:rFonts w:eastAsia="Calibri"/>
          <w:b/>
          <w:bCs/>
          <w:sz w:val="32"/>
          <w:szCs w:val="32"/>
        </w:rPr>
        <w:t>1.</w:t>
      </w:r>
      <w:r w:rsidRPr="00E65086">
        <w:rPr>
          <w:rFonts w:eastAsia="Calibri" w:hint="cs"/>
          <w:b/>
          <w:bCs/>
          <w:sz w:val="32"/>
          <w:szCs w:val="32"/>
          <w:cs/>
        </w:rPr>
        <w:t xml:space="preserve"> ศาลปกครองกลาง</w:t>
      </w:r>
      <w:r>
        <w:rPr>
          <w:rFonts w:eastAsia="Calibri" w:hint="cs"/>
          <w:sz w:val="32"/>
          <w:szCs w:val="32"/>
          <w:cs/>
        </w:rPr>
        <w:t xml:space="preserve"> กฎหมายว่าด้วยการจัดตั้งศาลปกครองและวิธีพิจารณาคดีปกครองได้กำหนดให้จัดตั้งศาลปกครองกลางขึ้นโดยมีที่ตั้งในกรุงเทพมหานครหรือในจังหวัดใกล้เคียง โดยมีเขตอำนาจศาลตลอดท้องที่กรุงเทพมหานคร จังหวัดนครปฐม จังหวัดนครนายก จังหวัดพระนครศรีอยุธยา จังหวัดลพบุรี จังหวัดนนทบุรี จังหวัดปทุมธานี จังหวัดสระบุรี จังหวัดสิงห์บุรี จังหวัดอ่างทอง จังหวัดสมุทรปราการ และจังหวัดสมุทรสาคร</w:t>
      </w:r>
      <w:r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หรือคดีที่ยื่นฟ้องที่ศาลปกครองกลาง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ในระหว่างที่ศาลปกครองในภูมิภาคยังมิได้มีเขตอำนาจในท้องที่ใด ให้ศาลปกครองกลางมีเขตอำนาจในท้องที่นั้นด้วย และบรรดาคดีที่เกิดขึ้นนอกเขตอำนาจศาลปกครองกลางตามมาตรา </w:t>
      </w:r>
      <w:r>
        <w:rPr>
          <w:rFonts w:eastAsia="Calibri"/>
          <w:sz w:val="32"/>
          <w:szCs w:val="32"/>
        </w:rPr>
        <w:t>8</w:t>
      </w:r>
      <w:r>
        <w:rPr>
          <w:rFonts w:eastAsia="Calibri" w:hint="cs"/>
          <w:sz w:val="32"/>
          <w:szCs w:val="32"/>
          <w:cs/>
        </w:rPr>
        <w:t xml:space="preserve"> วรรคสองและวรรคสาม จะยื่นฟ้องต่อศาลปกครองกลางก็ได้ ทั้งนี้ ให้อยู่ในดุลพินิจของศาลนั้นที่จะไม่รับพิจารณาพิพากษาคดีที่ยื่นฟ้องเช่นนั้นได้ เว้นแต่ คดีที่โอนมาตามหลักเกณฑ์ของการพิจารณาคดีปกครอง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 w:rsidRPr="0059164B">
        <w:rPr>
          <w:rFonts w:eastAsia="Calibri"/>
          <w:b/>
          <w:bCs/>
          <w:sz w:val="32"/>
          <w:szCs w:val="32"/>
        </w:rPr>
        <w:t xml:space="preserve">2. </w:t>
      </w:r>
      <w:r w:rsidRPr="0059164B">
        <w:rPr>
          <w:rFonts w:eastAsia="Calibri" w:hint="cs"/>
          <w:b/>
          <w:bCs/>
          <w:sz w:val="32"/>
          <w:szCs w:val="32"/>
          <w:cs/>
        </w:rPr>
        <w:t>ศาลปกครองในภูมิภาค</w:t>
      </w:r>
      <w:r>
        <w:rPr>
          <w:rFonts w:eastAsia="Calibri" w:hint="cs"/>
          <w:sz w:val="32"/>
          <w:szCs w:val="32"/>
          <w:cs/>
        </w:rPr>
        <w:t xml:space="preserve"> การจัดตั้งและการกำหนดเขตอำนาจของศาลปกครองในภูมิภาค ให้กระทำโดย “พระราชบัญญัติ” โดยคำนึงถึงปริมาณคดีและการบริหารบุคลากรของศาลปกครอง โดยจะกำหนดให้เขตอำนาจศาลปกครองในภูมิภาคครอบคลุมเขตการปกครองหลายจังหวัดก็ได้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ในปัจจุบัน ได้มีการจัดตั้งขึ้น </w:t>
      </w:r>
      <w:r>
        <w:rPr>
          <w:rFonts w:eastAsia="Calibri"/>
          <w:sz w:val="32"/>
          <w:szCs w:val="32"/>
        </w:rPr>
        <w:t>14</w:t>
      </w:r>
      <w:r>
        <w:rPr>
          <w:rFonts w:eastAsia="Calibri" w:hint="cs"/>
          <w:sz w:val="32"/>
          <w:szCs w:val="32"/>
          <w:cs/>
        </w:rPr>
        <w:t xml:space="preserve"> แห่ง ดังนี้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>) ศาลปกครองเชียงใหม่ มีเขตอำนาจตลอดท้องที่จังหวัดเชียงใหม่ เชียงราย แม่ฮ่องสอน ลำปาง ลำพูน และมีเขตอำนาจเพิ่มเติมในท้องที่จังหวัดน่าน พะเยา และแพร่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>) ศาลปกครองสงขลา มีเขตอำนาจตลอดท้องที่จังหวัดสงขลา ตรัง พัทลุง และสตูล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>) ศาลปกครองนครราชสีมา มีเขตอำนาจตลอดท้องที่จังหวัดนครราชสีมา และชัยภูมิ และมีเขตอำนาจเพิ่มเติมในท้องที่จังหวัดบุรีรัมย์ และสุรินทร์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>) ศาลปกครองขอนแก่น มีเขตอำนาจตลอดท้องที่จังหวัดขอนแก่น กาฬสินธุ์ และมหาสารคาม และมีเขตอำนาจเพิ่มเติมในท้องที่จังหวัดมุกดาหาร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5</w:t>
      </w:r>
      <w:r>
        <w:rPr>
          <w:rFonts w:eastAsia="Calibri" w:hint="cs"/>
          <w:sz w:val="32"/>
          <w:szCs w:val="32"/>
          <w:cs/>
        </w:rPr>
        <w:t>) ศาลปกครองพิษณุโลก มีเขตอำนาจตลอดท้องที่จังหวัดพิษณุโลก กำแพงเพชร ตาก พิจิตร สุโขทัย และอุตรดิตถ์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lastRenderedPageBreak/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6</w:t>
      </w:r>
      <w:r>
        <w:rPr>
          <w:rFonts w:eastAsia="Calibri" w:hint="cs"/>
          <w:sz w:val="32"/>
          <w:szCs w:val="32"/>
          <w:cs/>
        </w:rPr>
        <w:t>) ศาลปกครองระยอง มีเขตอำนาจตลอดท้องที่จังหวัดระยอง จันทบุรี ฉะเชิงเทรา ชลบุรี ตราด ปราจีนบุรี และสระแก้ว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7</w:t>
      </w:r>
      <w:r>
        <w:rPr>
          <w:rFonts w:eastAsia="Calibri" w:hint="cs"/>
          <w:sz w:val="32"/>
          <w:szCs w:val="32"/>
          <w:cs/>
        </w:rPr>
        <w:t>) ศาลปกครองนครศรีธรรมราช มีเขตอำนาจตลอดท้องที่จังหวัดนครศรีธรรมราช และจังหวัดสุราษฎร์ธานี และมีเขตอำนาจเพิ่มเติมในจังหวัดชุมพร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8</w:t>
      </w:r>
      <w:r>
        <w:rPr>
          <w:rFonts w:eastAsia="Calibri" w:hint="cs"/>
          <w:sz w:val="32"/>
          <w:szCs w:val="32"/>
          <w:cs/>
        </w:rPr>
        <w:t>) ศาลปกครองอุดรธานี มีเขตอำนาจตลอดท้องที่จังหวัดอุดรธานี หนองคาย หนองบัวลำพู และเลย และมีเขตอำนาจเพิ่มเติมในจังหวัดนครพนม บึงกาฬ และสกลนคร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9</w:t>
      </w:r>
      <w:r>
        <w:rPr>
          <w:rFonts w:eastAsia="Calibri" w:hint="cs"/>
          <w:sz w:val="32"/>
          <w:szCs w:val="32"/>
          <w:cs/>
        </w:rPr>
        <w:t>) ศาลปกครองอุบลราชธานี มีเขตอำนาจตลอดท้องที่จังหวัดอุบลราชธานี ยโสธร ร้อยเอ็ด ศรีสะเกษ และอำนาจเจริญ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10</w:t>
      </w:r>
      <w:r>
        <w:rPr>
          <w:rFonts w:eastAsia="Calibri" w:hint="cs"/>
          <w:sz w:val="32"/>
          <w:szCs w:val="32"/>
          <w:cs/>
        </w:rPr>
        <w:t>) ศาลปกครองเพชรบุรี มีเขตอำนาจตลอดท้องที่จังหวัดเพชรบุรี ราชบุรี ประจวบคีรีขันธ์ และสมุทรสงคราม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11</w:t>
      </w:r>
      <w:r>
        <w:rPr>
          <w:rFonts w:eastAsia="Calibri" w:hint="cs"/>
          <w:sz w:val="32"/>
          <w:szCs w:val="32"/>
          <w:cs/>
        </w:rPr>
        <w:t>) ศาลปกครองนครสวรรค์ มีเขตอำนาจตลอดท้องที่จังหวัดนครสวรรค์ ชัยนาท อุทัยธานี และเพชรบูรณ์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12</w:t>
      </w:r>
      <w:r>
        <w:rPr>
          <w:rFonts w:eastAsia="Calibri" w:hint="cs"/>
          <w:sz w:val="32"/>
          <w:szCs w:val="32"/>
          <w:cs/>
        </w:rPr>
        <w:t>) ศาลปกครองสุพรรณบุรี มีเขตอำนาจตลอดท้องที่จังหวัดสุพรรณบุรี และกาญจนบุรี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13</w:t>
      </w:r>
      <w:r>
        <w:rPr>
          <w:rFonts w:eastAsia="Calibri" w:hint="cs"/>
          <w:sz w:val="32"/>
          <w:szCs w:val="32"/>
          <w:cs/>
        </w:rPr>
        <w:t>) ศาลปกครองภูเก็ต มีเขตอำนาจตลอดท้องที่จังหวัดภูเก็ต กระบี่ พังงา และระนอง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>(</w:t>
      </w:r>
      <w:r>
        <w:rPr>
          <w:rFonts w:eastAsia="Calibri"/>
          <w:sz w:val="32"/>
          <w:szCs w:val="32"/>
        </w:rPr>
        <w:t>14</w:t>
      </w:r>
      <w:r>
        <w:rPr>
          <w:rFonts w:eastAsia="Calibri" w:hint="cs"/>
          <w:sz w:val="32"/>
          <w:szCs w:val="32"/>
          <w:cs/>
        </w:rPr>
        <w:t>) ศาลปกครองยะลา มีเขตอำนาจตลอดท้องที่จังหวัดยะลา ปัตตานี และนราธิวาส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การเปลี่ยนแปลงเขตท้องที่ที่ศาลปกครองชั้นต้นมีเขตอำนาจ ในกรณีที่มีความจำเป็นเพื่อประโยชน์ในการอำนวยความยุติธรรมแก่ประชาชน โดยคำนึงถึงสิทธิในการเข้าถึงกระบวนการยุติธรรม การบริหารจัดการคดี และระยะเวลาพิจารณาพิพากษาคดี ให้กระทำโดยข้อเสนอของ ก.บ.ศป. และตราเป็น “พระราชกฤษฎีกา”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C20201" w:rsidRPr="00DF7EA8" w:rsidRDefault="00C20201" w:rsidP="00C2020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DF7EA8">
        <w:rPr>
          <w:rFonts w:eastAsia="Calibri"/>
          <w:b/>
          <w:bCs/>
          <w:sz w:val="32"/>
          <w:szCs w:val="32"/>
        </w:rPr>
        <w:t>5.2</w:t>
      </w:r>
      <w:r w:rsidRPr="00DF7EA8">
        <w:rPr>
          <w:rFonts w:eastAsia="Calibri" w:hint="cs"/>
          <w:b/>
          <w:bCs/>
          <w:sz w:val="32"/>
          <w:szCs w:val="32"/>
          <w:cs/>
        </w:rPr>
        <w:t xml:space="preserve"> ศาลปกครองสูงสุด</w:t>
      </w:r>
    </w:p>
    <w:p w:rsidR="00C20201" w:rsidRPr="002A4979" w:rsidRDefault="00C20201" w:rsidP="00C20201">
      <w:pPr>
        <w:spacing w:after="0" w:line="240" w:lineRule="auto"/>
        <w:ind w:firstLine="72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ศาลปกครองสูงสุดมีเขตอำนาจตลอดทั่วราชอาณาจักร และมีอำนาจตัดสินคดีที่ยื่นฟ้องต่อศาลปกครองสูงสุดโดยตรง หรือคดีที่อุทธรณ์คำพิพากษาหรือคำสั่งของศาลปกครองชั้นต้น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ทั้งนี้ ตามที่พระราชบัญญัติจัดตั้งศาลปกครองและวิธีพิจารณาคดีปกครอง พ.ศ. </w:t>
      </w:r>
      <w:r>
        <w:rPr>
          <w:sz w:val="32"/>
          <w:szCs w:val="32"/>
        </w:rPr>
        <w:t>2542</w:t>
      </w:r>
      <w:r>
        <w:rPr>
          <w:rFonts w:hint="cs"/>
          <w:sz w:val="32"/>
          <w:szCs w:val="32"/>
          <w:cs/>
        </w:rPr>
        <w:t xml:space="preserve"> มาตรา </w:t>
      </w:r>
      <w:r>
        <w:rPr>
          <w:sz w:val="32"/>
          <w:szCs w:val="32"/>
        </w:rPr>
        <w:t>11</w:t>
      </w:r>
      <w:r>
        <w:rPr>
          <w:rFonts w:hint="cs"/>
          <w:sz w:val="32"/>
          <w:szCs w:val="32"/>
          <w:cs/>
        </w:rPr>
        <w:t xml:space="preserve"> ได้กำหนดประเภทคดีของศาลปกครองสูงสุดเอาไว้ เมื่อผู้ฟ้องคดีได้ปฏิบัติถูกต้องตามหลักเกณฑ์ที่กฎหมายกำหนดแล้ว ศาลปกครองสูงสุดย่อมมีอำนาจรับคำฟ้องคดีนั้นไว้พิจารณาพิพากษาได้ โดยไม่ต้องพิจารณาว่ามูลคดีเกิดขึ้นที่ใด หรือผู้ฟ้องคดีมีภูมิลำเนาอยู่ที่ใด</w:t>
      </w:r>
    </w:p>
    <w:p w:rsidR="004F7512" w:rsidRDefault="00C20201" w:rsidP="00C20201">
      <w:r w:rsidRPr="00DF7EA8">
        <w:rPr>
          <w:sz w:val="32"/>
          <w:szCs w:val="32"/>
          <w:cs/>
        </w:rPr>
        <w:t xml:space="preserve">ปัจจุบัน ศาลปกครองสูงสุด และสำนักงานศาลปกครอง มีที่ตั้งอยู่ที่เดียวกัน คือ เลขที่ </w:t>
      </w:r>
      <w:r w:rsidRPr="00DF7EA8">
        <w:rPr>
          <w:sz w:val="32"/>
          <w:szCs w:val="32"/>
        </w:rPr>
        <w:t>120</w:t>
      </w:r>
      <w:r w:rsidRPr="00DF7EA8">
        <w:rPr>
          <w:sz w:val="32"/>
          <w:szCs w:val="32"/>
          <w:cs/>
        </w:rPr>
        <w:t xml:space="preserve"> หมู่ที่ </w:t>
      </w:r>
      <w:r w:rsidRPr="00DF7EA8">
        <w:rPr>
          <w:sz w:val="32"/>
          <w:szCs w:val="32"/>
        </w:rPr>
        <w:t>3</w:t>
      </w:r>
      <w:r w:rsidRPr="00DF7EA8">
        <w:rPr>
          <w:sz w:val="32"/>
          <w:szCs w:val="32"/>
          <w:cs/>
        </w:rPr>
        <w:t xml:space="preserve"> ถนนแจ้งวัฒนะ แขวงทุ่งสองห้อง เขตหลักสี่ กรุงเทพฯ </w:t>
      </w:r>
      <w:r w:rsidRPr="00DF7EA8">
        <w:rPr>
          <w:sz w:val="32"/>
          <w:szCs w:val="32"/>
        </w:rPr>
        <w:t>10210</w:t>
      </w:r>
    </w:p>
    <w:p w:rsidR="00C20201" w:rsidRDefault="00C20201" w:rsidP="00C20201"/>
    <w:p w:rsidR="00C20201" w:rsidRDefault="00C20201" w:rsidP="00C20201"/>
    <w:p w:rsidR="00C20201" w:rsidRDefault="00C20201" w:rsidP="00C20201"/>
    <w:p w:rsidR="00C20201" w:rsidRDefault="00C20201" w:rsidP="00C20201"/>
    <w:p w:rsidR="00C20201" w:rsidRPr="00832166" w:rsidRDefault="00C20201" w:rsidP="00C20201">
      <w:pPr>
        <w:spacing w:after="0" w:line="240" w:lineRule="auto"/>
        <w:jc w:val="thaiDistribute"/>
        <w:rPr>
          <w:b/>
          <w:bCs/>
          <w:sz w:val="36"/>
          <w:szCs w:val="36"/>
        </w:rPr>
      </w:pPr>
      <w:r w:rsidRPr="00832166">
        <w:rPr>
          <w:b/>
          <w:bCs/>
          <w:sz w:val="36"/>
          <w:szCs w:val="36"/>
        </w:rPr>
        <w:lastRenderedPageBreak/>
        <w:t>6.</w:t>
      </w:r>
      <w:r w:rsidRPr="00832166">
        <w:rPr>
          <w:rFonts w:hint="cs"/>
          <w:b/>
          <w:bCs/>
          <w:sz w:val="36"/>
          <w:szCs w:val="36"/>
          <w:cs/>
        </w:rPr>
        <w:t xml:space="preserve"> ตุลาการศาลปกครอง</w:t>
      </w:r>
      <w:r>
        <w:rPr>
          <w:rFonts w:hint="cs"/>
          <w:b/>
          <w:bCs/>
          <w:sz w:val="36"/>
          <w:szCs w:val="36"/>
          <w:cs/>
        </w:rPr>
        <w:t>ในกระบวนพิจารณาคดี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sz w:val="32"/>
          <w:szCs w:val="32"/>
        </w:rPr>
      </w:pP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hint="cs"/>
          <w:sz w:val="32"/>
          <w:szCs w:val="32"/>
          <w:cs/>
        </w:rPr>
        <w:t>ภายใต้หลักการถ่วงดุลอำนาจของตุลาการศาลปกครอง</w:t>
      </w:r>
      <w:r>
        <w:rPr>
          <w:rFonts w:eastAsia="Calibri" w:hint="cs"/>
          <w:sz w:val="32"/>
          <w:szCs w:val="32"/>
          <w:cs/>
        </w:rPr>
        <w:t xml:space="preserve"> เพื่อให้คำพิพากษา คำสั่ง หรือคำวินิจฉัยใด ๆ ของศาลที่ออกมานั้นเป็นไปด้วยความยุติธรรมและถูกต้องสมบูรณ์ที่สุด ระบบการพิจารณาคดีของศาลปกครองจึงได้กำหนดให้มีการแบ่งอำนาจหน้าที่ของตุลาการศาลปกครองออกเป็น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 ส่วนด้วยกัน ได้แก่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) ตุลาการองค์คณะพิจารณาพิพากษา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) ตุลาการเจ้าของสำนวน และ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>) ตุลาการผู้แถลงคดีปกครอง</w:t>
      </w:r>
    </w:p>
    <w:p w:rsidR="00C20201" w:rsidRPr="00E90AEB" w:rsidRDefault="00C20201" w:rsidP="00C2020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E90AEB">
        <w:rPr>
          <w:rFonts w:eastAsia="Calibri"/>
          <w:b/>
          <w:bCs/>
          <w:sz w:val="32"/>
          <w:szCs w:val="32"/>
        </w:rPr>
        <w:t>6.1</w:t>
      </w:r>
      <w:r w:rsidRPr="00E90AEB">
        <w:rPr>
          <w:rFonts w:eastAsia="Calibri" w:hint="cs"/>
          <w:b/>
          <w:bCs/>
          <w:sz w:val="32"/>
          <w:szCs w:val="32"/>
          <w:cs/>
        </w:rPr>
        <w:t xml:space="preserve"> ตุลาการองค์คณะพิจารณาพิพากษา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ในการนั่งพิจารณาคดีของศาลปกครองต้องมีตุลาการศาลปกครองครบองค์คณะ จึงจะเป็น “องค์คณะพิจารณาพิพากษา” โดยหากตุลาการศาลปกครองผู้ใดที่มิได้นั่งพิจารณาจะทำคำพิพากษาหรือคำวินิจฉัยในคดีนั้นไม่ได้ เว้นแต่ จะมีเหตุสุดวิสัยหรือมีเหตุจำเป็นอื่นอันมิอาจก้าวล่วงได้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ศาลปกครองสูงสุด ต้องมีตุลาการในศาลปกครองสูงสุดอย่างน้อย </w:t>
      </w:r>
      <w:r>
        <w:rPr>
          <w:rFonts w:eastAsia="Calibri"/>
          <w:sz w:val="32"/>
          <w:szCs w:val="32"/>
        </w:rPr>
        <w:t>5</w:t>
      </w:r>
      <w:r>
        <w:rPr>
          <w:rFonts w:eastAsia="Calibri" w:hint="cs"/>
          <w:sz w:val="32"/>
          <w:szCs w:val="32"/>
          <w:cs/>
        </w:rPr>
        <w:t xml:space="preserve"> คน จึงจะเป็นองค์คณะพิจารณาพิพากษา 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ศาลปกครองชั้นต้น ต้องมีตุลาการในศาลปกครองชั้นต้นอย่างน้อย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 คน จึงจะเป็นองค์คณะพิจารณาพิพากษา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C20201" w:rsidRPr="00E90AEB" w:rsidRDefault="00C20201" w:rsidP="00C2020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E90AEB">
        <w:rPr>
          <w:rFonts w:eastAsia="Calibri"/>
          <w:b/>
          <w:bCs/>
          <w:sz w:val="32"/>
          <w:szCs w:val="32"/>
        </w:rPr>
        <w:t>6.2</w:t>
      </w:r>
      <w:r w:rsidRPr="00E90AEB">
        <w:rPr>
          <w:rFonts w:eastAsia="Calibri" w:hint="cs"/>
          <w:b/>
          <w:bCs/>
          <w:sz w:val="32"/>
          <w:szCs w:val="32"/>
          <w:cs/>
        </w:rPr>
        <w:t xml:space="preserve"> ตุลาการเจ้าของสำนวน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ในขั้นตอนการแสวงหาข้อเท็จจริง ระบบวิธีพิจารณาคดีปกครองกำหนดให้มีวิธีการตรวจสอบความสมบูรณ์ถูกต้องของเท็จจริง กล่าวคือ ให้มี “ตุลาการเจ้าของสำนวน” คนหนึ่ง โดยให้ตุลาการหัวหน้าคณะในองค์คณะพิจารณาพิพากษาคดีนั้นแต่งตั้งตุลาการศาลปกครองในองค์คณะของตนคนหนึ่งเป็นตุลาการเจ้าของสำนวน ทำหน้าที่ในการแสวงหาและรวบรวมข้อเท็จจริงแห่งคดี ไม่ว่าจะเป็นรวบรวมข้อเท็จจริงจากคำฟ้อง คำชี้แจงของคู่กรณี และรวบรวมพยานหลักฐานที่เกี่ยวข้อง โดยมี “พนักงานคดีปกครอง” เป็นผู้ช่วยดำเนินการตามที่ตุลาการเจ้าของสำนวนมอบหมาย 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เมื่อตุลาการเจ้าของสำนวนเห็นว่าได้รวบรวมข้อเท็จจริงและข้อกฎหมายเพียงพอแล้ว ให้ตุลาการเจ้าของสำนวนทำความเห็นทั้งในข้อเท็จจริงและข้อกฎหมายเสนอให้องค์คณะพิจารณาพิพากษาเพื่อพิจารณาคดีต่อไป และก่อนวันนั่งพิจารณาคดี ให้ตุลาการเจ้าของสำนวนส่งมอบสำนวนคดีให้ตุลาการผู้แถลงคดีปกครองพิจารณาด้วย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C20201" w:rsidRPr="00F440E3" w:rsidRDefault="00C20201" w:rsidP="00C20201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F440E3">
        <w:rPr>
          <w:rFonts w:eastAsia="Calibri"/>
          <w:b/>
          <w:bCs/>
          <w:sz w:val="32"/>
          <w:szCs w:val="32"/>
        </w:rPr>
        <w:t>6.3</w:t>
      </w:r>
      <w:r w:rsidRPr="00F440E3">
        <w:rPr>
          <w:rFonts w:eastAsia="Calibri" w:hint="cs"/>
          <w:b/>
          <w:bCs/>
          <w:sz w:val="32"/>
          <w:szCs w:val="32"/>
          <w:cs/>
        </w:rPr>
        <w:t xml:space="preserve"> ตุลาการผู้แถลงคดีปกครอง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การพิจารณาพิพากษาคดีปกครองแต่ละคดียึดถือหลักถ่วงดุลการใช้อำนาจระหว่างตุลาการศาลปกครอง โดยนอกจากกฎหมายจะกำหนดให้มีตุลาการเจ้าของสำนวนเป็นผู้ดำเนินการแสวงหาและรวบรวมข้อเท็จจริงแห่งคดีแล้ว กฎหมายว่าด้วยการจัดตั้งศาลปกครองและวิธีพิจารณาคดีปกครองยังได้กำหนดให้มีตุลาการศาลปกครองอีกคนหนึ่ง ซึ่ง “ไม่ได้” อยู่ในองค์คณะพิจารณาพิพากษา ทำหน้าที่เป็น “ผู้แถลงคดีปกครอง” มีอำนาจหน้าที่ตรวจสอบ และถ่วงดุลการทำหน้าที่ของตุลาการเจ้าของสำนวนและตุลาการองค์คณะพิจารณาพิพากษา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lastRenderedPageBreak/>
        <w:t>คำนิยามของ “ตุลาการผู้แถลงคดี” อาจกล่าวได้ว่า หมายถึง ตุลาการศาลปกครองที่ได้รับแต่งตั้งให้เป็นผู้จัดทำและเสนอ “คำแถลงการณ์” ต่อองค์คณะพิจารณาพิพากษา ดังนั้น ตุลาการผู้แถลงคดีปกครองต้องไม่ใช่ตุลาการที่ทำหน้าที่เป็นองค์คณะในคดีนั้น</w:t>
      </w:r>
    </w:p>
    <w:p w:rsidR="00C20201" w:rsidRDefault="00C20201" w:rsidP="00C20201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>การแต่งตั้งผู้แถลงคดีปกครอง ให้อธิบดีศาลปกครองชั้นต้นแต่งตั้งผู้แถลงคดีปกครองในศาลปกครองชั้นต้น ซึ่งจะต้องแต่งตั้งจากตุลาการศาลปกครองชั้นต้นที่มิใช่องค์คณะพิจารณาพิพากษา และให้ประธานศาลปกครองสูงสุดแต่งตั้งผู้แถลงคดีปกครองในศาลปกครองสูงสุด ซึ่งจะแต่งตั้งจากตุลาการศาลปกครองสูงสุดหรือตุลาการศาลปกครองชั้นต้นก็ได้</w:t>
      </w:r>
    </w:p>
    <w:p w:rsidR="00C20201" w:rsidRDefault="00C20201" w:rsidP="00C20201">
      <w:pPr>
        <w:ind w:firstLine="720"/>
        <w:jc w:val="thaiDistribute"/>
      </w:pPr>
      <w:r>
        <w:rPr>
          <w:rFonts w:eastAsia="Calibri" w:hint="cs"/>
          <w:sz w:val="32"/>
          <w:szCs w:val="32"/>
          <w:cs/>
        </w:rPr>
        <w:t>อำนาจหน้าที่ที่สำคัญของตุลาการผู้แถลงคดี คือ การเสนอคำแถลงการณ์ต่อองค์คณะพิจารณาพิพากษา ซึ่งคำแถลงการณ์นั้นประกอบด้วย สรุปข้อเท็จจริง ข้อกฎหมาย และความเห็นของตนในการวินิจฉัยคดีนั้น ว่า หากตนมีหน้าที่ตัดสินคดีเรื่องนั้น ตนจะพิพากษาอย่างไร ด้วยเหตุผลประการใด โดยเสนอคำแถลงการณ์ต่อองค์คณะพิจารณาพิพากษาเพื่อประกอบการพิจารณาขององค์คณะ อย่างไรก็ดี คำแถลงการณ์ของตุลาการผู้แถลงคดี “ไม่ถือว่า” เป็นคำพิพากษาหรือคำวินิจฉัยชี้ขาดในคดีปกครองแต่อย่างใด โดยคำแถลงการณ์ของผู้แถลงคดีปกครองมีไว้เพื่อประกอบให้การทำคำพิพากษา คำสั่ง หรือการวินิจฉัยใด ๆ ขององค์คณะพิจารณาพิพากษาคดีนั้นได้เป็นไปด้วยความรอบคอบ ดังนั้น การวินิจฉัยหรือคำตัดสินขององค์คณะเท่านั้น ที่จะถือเป็นคำพิพากษาของศาลปกครอง</w:t>
      </w:r>
    </w:p>
    <w:p w:rsidR="00BB17D5" w:rsidRDefault="00BB17D5" w:rsidP="00C20201">
      <w:pPr>
        <w:ind w:firstLine="720"/>
        <w:jc w:val="thaiDistribute"/>
      </w:pPr>
    </w:p>
    <w:p w:rsidR="00BB17D5" w:rsidRPr="00DF4B7F" w:rsidRDefault="00BB17D5" w:rsidP="00BB17D5">
      <w:pPr>
        <w:spacing w:after="0" w:line="240" w:lineRule="auto"/>
        <w:jc w:val="thaiDistribute"/>
        <w:rPr>
          <w:rFonts w:eastAsia="Calibri"/>
          <w:b/>
          <w:bCs/>
          <w:sz w:val="36"/>
          <w:szCs w:val="36"/>
        </w:rPr>
      </w:pPr>
      <w:r w:rsidRPr="00DF4B7F">
        <w:rPr>
          <w:rFonts w:eastAsia="Calibri"/>
          <w:b/>
          <w:bCs/>
          <w:sz w:val="36"/>
          <w:szCs w:val="36"/>
        </w:rPr>
        <w:t>7.</w:t>
      </w:r>
      <w:r w:rsidRPr="00DF4B7F">
        <w:rPr>
          <w:rFonts w:eastAsia="Calibri" w:hint="cs"/>
          <w:b/>
          <w:bCs/>
          <w:sz w:val="36"/>
          <w:szCs w:val="36"/>
          <w:cs/>
        </w:rPr>
        <w:t xml:space="preserve"> ข้าราชการตุลาการศาลปกครอง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พระราชบัญญัติจัดตั้งศาลปกครองและวิธีพิจารณาคดีปกครอง พ.ศ. </w:t>
      </w:r>
      <w:r>
        <w:rPr>
          <w:rFonts w:eastAsia="Calibri"/>
          <w:sz w:val="32"/>
          <w:szCs w:val="32"/>
        </w:rPr>
        <w:t>2542</w:t>
      </w:r>
      <w:r>
        <w:rPr>
          <w:rFonts w:eastAsia="Calibri" w:hint="cs"/>
          <w:sz w:val="32"/>
          <w:szCs w:val="32"/>
          <w:cs/>
        </w:rPr>
        <w:t xml:space="preserve"> ได้แบ่งประเภทของข้าราชการตุลาการศาลปกครองออกเป็น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 ประเภท ได้แก่ </w:t>
      </w:r>
      <w:r>
        <w:rPr>
          <w:rFonts w:eastAsia="Calibri"/>
          <w:sz w:val="32"/>
          <w:szCs w:val="32"/>
        </w:rPr>
        <w:t>1</w:t>
      </w:r>
      <w:r>
        <w:rPr>
          <w:rFonts w:eastAsia="Calibri" w:hint="cs"/>
          <w:sz w:val="32"/>
          <w:szCs w:val="32"/>
          <w:cs/>
        </w:rPr>
        <w:t xml:space="preserve">) ตุลาการประจำศาลปกครองชั้นต้น </w:t>
      </w:r>
      <w:r>
        <w:rPr>
          <w:rFonts w:eastAsia="Calibri"/>
          <w:sz w:val="32"/>
          <w:szCs w:val="32"/>
        </w:rPr>
        <w:t>2</w:t>
      </w:r>
      <w:r>
        <w:rPr>
          <w:rFonts w:eastAsia="Calibri" w:hint="cs"/>
          <w:sz w:val="32"/>
          <w:szCs w:val="32"/>
          <w:cs/>
        </w:rPr>
        <w:t xml:space="preserve">) ตุลาการในศาลปกครองชั้นต้น และ </w:t>
      </w:r>
      <w:r>
        <w:rPr>
          <w:rFonts w:eastAsia="Calibri"/>
          <w:sz w:val="32"/>
          <w:szCs w:val="32"/>
        </w:rPr>
        <w:t>3</w:t>
      </w:r>
      <w:r>
        <w:rPr>
          <w:rFonts w:eastAsia="Calibri" w:hint="cs"/>
          <w:sz w:val="32"/>
          <w:szCs w:val="32"/>
          <w:cs/>
        </w:rPr>
        <w:t xml:space="preserve">) ตุลาการในศาลปกครองสูงสุด </w:t>
      </w:r>
    </w:p>
    <w:p w:rsidR="00BB17D5" w:rsidRPr="00DF4B7F" w:rsidRDefault="00BB17D5" w:rsidP="00BB17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DF4B7F">
        <w:rPr>
          <w:rFonts w:eastAsia="Calibri"/>
          <w:b/>
          <w:bCs/>
          <w:sz w:val="32"/>
          <w:szCs w:val="32"/>
        </w:rPr>
        <w:t xml:space="preserve">7.1 </w:t>
      </w:r>
      <w:r w:rsidRPr="00DF4B7F">
        <w:rPr>
          <w:rFonts w:eastAsia="Calibri" w:hint="cs"/>
          <w:b/>
          <w:bCs/>
          <w:sz w:val="32"/>
          <w:szCs w:val="32"/>
          <w:cs/>
        </w:rPr>
        <w:t>ตุลาการประจำศาลปกครองชั้นต้น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ตุลาการประจำศาลปกครองชั้นต้น เป็นข้าราชการตุลาการศาลปกครองที่คณะกรรมการตุลาการศาลปกครอง (ก.ศป.) แต่งตั้งจากบุคคลที่มีคุณสมบัติที่จะได้รับแต่งตั้งเป็นตุลาการในศาลปกครองชั้นต้นครบถ้วนตามมาตรา </w:t>
      </w:r>
      <w:r>
        <w:rPr>
          <w:rFonts w:eastAsia="Calibri"/>
          <w:sz w:val="32"/>
          <w:szCs w:val="32"/>
        </w:rPr>
        <w:t>18</w:t>
      </w:r>
      <w:r>
        <w:rPr>
          <w:rFonts w:eastAsia="Calibri" w:hint="cs"/>
          <w:sz w:val="32"/>
          <w:szCs w:val="32"/>
          <w:cs/>
        </w:rPr>
        <w:t xml:space="preserve"> ซึ่งผ่านการสอบคัดเลือก การทดสอบความรู้ หรือการคัดเลือก และมีความเหมาะสมที่จะแต่งตั้งเป็นตุลาการประจำศาลปกครองชั้นต้นตามมาตรา </w:t>
      </w:r>
      <w:r>
        <w:rPr>
          <w:rFonts w:eastAsia="Calibri"/>
          <w:sz w:val="32"/>
          <w:szCs w:val="32"/>
        </w:rPr>
        <w:t>19</w:t>
      </w:r>
      <w:r>
        <w:rPr>
          <w:rFonts w:eastAsia="Calibri" w:hint="cs"/>
          <w:sz w:val="32"/>
          <w:szCs w:val="32"/>
          <w:cs/>
        </w:rPr>
        <w:t xml:space="preserve"> วรรคหนึ่ง หากตุลาการประจำศาลปกครองชั้นต้นผู้ใดไม่เหมาะสมที่จะเป็นตุลาการศาลปกครองชั้นต้นหรือผลการฝึกอบรมไม่เป็นไปตามมาตรฐานของ ก.ศป. ผู้นั้นก็จะไม่ได้รับแต่งตั้งเป็นตุลาการศาลปกครองชั้นต้น และให้ประธานศาลปกครองสูงสุดโดยความเห็นชอบของ ก.ศป. มีอำนาจสั่งให้ออกจากราชการหรือดำเนินการเพื่อให้มีการโอนไปเป็นข้าราชการฝ่ายศาลปกครองได้ตามมาตรา </w:t>
      </w:r>
      <w:r>
        <w:rPr>
          <w:rFonts w:eastAsia="Calibri"/>
          <w:sz w:val="32"/>
          <w:szCs w:val="32"/>
        </w:rPr>
        <w:t>19</w:t>
      </w:r>
      <w:r>
        <w:rPr>
          <w:rFonts w:eastAsia="Calibri" w:hint="cs"/>
          <w:sz w:val="32"/>
          <w:szCs w:val="32"/>
          <w:cs/>
        </w:rPr>
        <w:t xml:space="preserve"> วรรคสี่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BB17D5" w:rsidRPr="00955031" w:rsidRDefault="00BB17D5" w:rsidP="00BB17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955031">
        <w:rPr>
          <w:rFonts w:eastAsia="Calibri"/>
          <w:b/>
          <w:bCs/>
          <w:sz w:val="32"/>
          <w:szCs w:val="32"/>
        </w:rPr>
        <w:t>7.2</w:t>
      </w:r>
      <w:r w:rsidRPr="00955031">
        <w:rPr>
          <w:rFonts w:eastAsia="Calibri" w:hint="cs"/>
          <w:b/>
          <w:bCs/>
          <w:sz w:val="32"/>
          <w:szCs w:val="32"/>
          <w:cs/>
        </w:rPr>
        <w:t xml:space="preserve"> ตุลาการในศาลปกครองชั้นต้น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ในศาลปกครองชั้นต้นแต่ละศาล ให้มีตำแหน่งตุลาการศาลปกครอง </w:t>
      </w:r>
      <w:r>
        <w:rPr>
          <w:rFonts w:eastAsia="Calibri"/>
          <w:sz w:val="32"/>
          <w:szCs w:val="32"/>
        </w:rPr>
        <w:t>5</w:t>
      </w:r>
      <w:r>
        <w:rPr>
          <w:rFonts w:eastAsia="Calibri" w:hint="cs"/>
          <w:sz w:val="32"/>
          <w:szCs w:val="32"/>
          <w:cs/>
        </w:rPr>
        <w:t xml:space="preserve"> ตำแหน่ง ได้แก่ 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1.</w:t>
      </w:r>
      <w:r>
        <w:rPr>
          <w:rFonts w:eastAsia="Calibri" w:hint="cs"/>
          <w:sz w:val="32"/>
          <w:szCs w:val="32"/>
          <w:cs/>
        </w:rPr>
        <w:t xml:space="preserve"> อธิบดีศาลปกครองชั้นต้น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>2.</w:t>
      </w:r>
      <w:r>
        <w:rPr>
          <w:rFonts w:eastAsia="Calibri" w:hint="cs"/>
          <w:sz w:val="32"/>
          <w:szCs w:val="32"/>
          <w:cs/>
        </w:rPr>
        <w:t xml:space="preserve"> รองอธิบดีศาลปกครองชั้นต้น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3.</w:t>
      </w:r>
      <w:r>
        <w:rPr>
          <w:rFonts w:eastAsia="Calibri" w:hint="cs"/>
          <w:sz w:val="32"/>
          <w:szCs w:val="32"/>
          <w:cs/>
        </w:rPr>
        <w:t xml:space="preserve"> ตุลาการหัวหน้าคณะศาลปกครองชั้นต้น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4.</w:t>
      </w:r>
      <w:r>
        <w:rPr>
          <w:rFonts w:eastAsia="Calibri" w:hint="cs"/>
          <w:sz w:val="32"/>
          <w:szCs w:val="32"/>
          <w:cs/>
        </w:rPr>
        <w:t xml:space="preserve"> ตุลาการศาลปกครองชั้นต้น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5.</w:t>
      </w:r>
      <w:r>
        <w:rPr>
          <w:rFonts w:eastAsia="Calibri" w:hint="cs"/>
          <w:sz w:val="32"/>
          <w:szCs w:val="32"/>
          <w:cs/>
        </w:rPr>
        <w:t xml:space="preserve"> ตุลาการศาลปกครองชั้นต้น ที่เรียกชื่ออย่างอื่นตามที่ ก.ศป. ประกาศกำหนด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กฎหมายว่าด้วยการจัดตั้งศาลปกครองฯ มาตรา </w:t>
      </w:r>
      <w:r>
        <w:rPr>
          <w:rFonts w:eastAsia="Calibri"/>
          <w:sz w:val="32"/>
          <w:szCs w:val="32"/>
        </w:rPr>
        <w:t>17</w:t>
      </w:r>
      <w:r>
        <w:rPr>
          <w:rFonts w:eastAsia="Calibri" w:hint="cs"/>
          <w:sz w:val="32"/>
          <w:szCs w:val="32"/>
          <w:cs/>
        </w:rPr>
        <w:t xml:space="preserve"> กำหนดให้ผู้ที่จะได้รับแต่งตั้งเป็นตุลาการในศาลปกครองชั้นต้นต้องมีคุณสมบัติตามมาตรา </w:t>
      </w:r>
      <w:r>
        <w:rPr>
          <w:rFonts w:eastAsia="Calibri"/>
          <w:sz w:val="32"/>
          <w:szCs w:val="32"/>
        </w:rPr>
        <w:t>18</w:t>
      </w:r>
      <w:r>
        <w:rPr>
          <w:rFonts w:eastAsia="Calibri" w:hint="cs"/>
          <w:sz w:val="32"/>
          <w:szCs w:val="32"/>
          <w:cs/>
        </w:rPr>
        <w:t xml:space="preserve"> วรรคหนึ่ง เช่น มีอายุไม่ต่ำกว่า </w:t>
      </w:r>
      <w:r>
        <w:rPr>
          <w:rFonts w:eastAsia="Calibri"/>
          <w:sz w:val="32"/>
          <w:szCs w:val="32"/>
        </w:rPr>
        <w:t>35</w:t>
      </w:r>
      <w:r>
        <w:rPr>
          <w:rFonts w:eastAsia="Calibri" w:hint="cs"/>
          <w:sz w:val="32"/>
          <w:szCs w:val="32"/>
          <w:cs/>
        </w:rPr>
        <w:t xml:space="preserve"> ปี เป็นผู้ทรงคุณวุฒิในสาขาวิชาตามหลักเกณฑ์ของ ก.ศป. และมีประสบการณ์การทำงานตามที่กำหนด เป็นต้น และไม่มีลักษณะต้องห้ามตามมาตรา </w:t>
      </w:r>
      <w:r>
        <w:rPr>
          <w:rFonts w:eastAsia="Calibri"/>
          <w:sz w:val="32"/>
          <w:szCs w:val="32"/>
        </w:rPr>
        <w:t>18</w:t>
      </w:r>
      <w:r>
        <w:rPr>
          <w:rFonts w:eastAsia="Calibri" w:hint="cs"/>
          <w:sz w:val="32"/>
          <w:szCs w:val="32"/>
          <w:cs/>
        </w:rPr>
        <w:t xml:space="preserve"> วรรคสอง ประกอบมาตรา </w:t>
      </w:r>
      <w:r>
        <w:rPr>
          <w:rFonts w:eastAsia="Calibri"/>
          <w:sz w:val="32"/>
          <w:szCs w:val="32"/>
        </w:rPr>
        <w:t>14</w:t>
      </w:r>
      <w:r>
        <w:rPr>
          <w:rFonts w:eastAsia="Calibri" w:hint="cs"/>
          <w:sz w:val="32"/>
          <w:szCs w:val="32"/>
          <w:cs/>
        </w:rPr>
        <w:t xml:space="preserve"> เช่น เป็นผู้ดำรงตำแหน่งทางการเมือง เป็นกรรมการในรัฐวิสาหกิจ เป็นต้น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เมื่อ ก.ศป. พิจารณาคัดเลือกตุลาการประจำศาลปกครองชั้นต้นซึ่งผ่านการอบรมตามหลักสูตรที่ ก.ศป. กำหนด และผลการฝึกอบรมเป็นไปตามมาตรฐานของ ก.ศป. ว่าเป็นผู้มีความซื่อสัตย์สุจริต ความรู้ความสามารถ ความรับผิดชอบ และความประพฤติเหมาะสมที่จะเป็นตุลาการศาลปกครอง เพื่อแต่งตั้งเป็นตุลาการศาลปกครองชั้นต้นแล้ว ให้เสนอรายชื่อต่อนายกรัฐมนตรีเพื่อนำความกราบบังคมทูลเพื่อทรงพระกรุณาโปรดเกล้าฯ แต่งตั้งตามมาตรา </w:t>
      </w:r>
      <w:r>
        <w:rPr>
          <w:rFonts w:eastAsia="Calibri"/>
          <w:sz w:val="32"/>
          <w:szCs w:val="32"/>
        </w:rPr>
        <w:t>19</w:t>
      </w:r>
      <w:r>
        <w:rPr>
          <w:rFonts w:eastAsia="Calibri" w:hint="cs"/>
          <w:sz w:val="32"/>
          <w:szCs w:val="32"/>
          <w:cs/>
        </w:rPr>
        <w:t xml:space="preserve"> วรรคสาม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อธิบดีศาลปกครองชั้นต้นเป็นตุลาการหัวหน้าศาลปกครองชั้นต้นนั้น ๆ ซึ่งต้องรับผิดชอบให้งานของศาลปกครองชั้นต้นนั้นเป็นไปโดยเรียบร้อย โดยมีรองอธิบดีศาลปกครองชั้นต้นช่วยปฏิบัติหน้าที่ตามที่อธิบดีศาลปกครองชั้นต้นมอบหมายตามมาตรา </w:t>
      </w:r>
      <w:r>
        <w:rPr>
          <w:rFonts w:eastAsia="Calibri"/>
          <w:sz w:val="32"/>
          <w:szCs w:val="32"/>
        </w:rPr>
        <w:t>28</w:t>
      </w:r>
      <w:r>
        <w:rPr>
          <w:rFonts w:eastAsia="Calibri" w:hint="cs"/>
          <w:sz w:val="32"/>
          <w:szCs w:val="32"/>
          <w:cs/>
        </w:rPr>
        <w:t xml:space="preserve"> วรรคสอง 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</w:p>
    <w:p w:rsidR="00BB17D5" w:rsidRPr="002271BA" w:rsidRDefault="00BB17D5" w:rsidP="00BB17D5">
      <w:pPr>
        <w:spacing w:after="0" w:line="240" w:lineRule="auto"/>
        <w:ind w:firstLine="720"/>
        <w:jc w:val="thaiDistribute"/>
        <w:rPr>
          <w:rFonts w:eastAsia="Calibri"/>
          <w:b/>
          <w:bCs/>
          <w:sz w:val="32"/>
          <w:szCs w:val="32"/>
        </w:rPr>
      </w:pPr>
      <w:r w:rsidRPr="002271BA">
        <w:rPr>
          <w:rFonts w:eastAsia="Calibri"/>
          <w:b/>
          <w:bCs/>
          <w:sz w:val="32"/>
          <w:szCs w:val="32"/>
        </w:rPr>
        <w:t>7.3</w:t>
      </w:r>
      <w:r w:rsidRPr="002271BA">
        <w:rPr>
          <w:rFonts w:eastAsia="Calibri" w:hint="cs"/>
          <w:b/>
          <w:bCs/>
          <w:sz w:val="32"/>
          <w:szCs w:val="32"/>
          <w:cs/>
        </w:rPr>
        <w:t xml:space="preserve"> ตุลาการในศาลปกครองสูงสุด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ในศาลปกครองสูงสุด ให้มีตำแหน่งตุลาการศาลปกครอง </w:t>
      </w:r>
      <w:r>
        <w:rPr>
          <w:rFonts w:eastAsia="Calibri"/>
          <w:sz w:val="32"/>
          <w:szCs w:val="32"/>
        </w:rPr>
        <w:t>5</w:t>
      </w:r>
      <w:r>
        <w:rPr>
          <w:rFonts w:eastAsia="Calibri" w:hint="cs"/>
          <w:sz w:val="32"/>
          <w:szCs w:val="32"/>
          <w:cs/>
        </w:rPr>
        <w:t xml:space="preserve"> ตำแหน่ง ได้แก่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1. </w:t>
      </w:r>
      <w:r>
        <w:rPr>
          <w:rFonts w:eastAsia="Calibri" w:hint="cs"/>
          <w:sz w:val="32"/>
          <w:szCs w:val="32"/>
          <w:cs/>
        </w:rPr>
        <w:t>ประธานศาลปกครองสูงสุด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2.</w:t>
      </w:r>
      <w:r>
        <w:rPr>
          <w:rFonts w:eastAsia="Calibri" w:hint="cs"/>
          <w:sz w:val="32"/>
          <w:szCs w:val="32"/>
          <w:cs/>
        </w:rPr>
        <w:t xml:space="preserve"> รองประธานศาลปกครองสูงสุด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3.</w:t>
      </w:r>
      <w:r>
        <w:rPr>
          <w:rFonts w:eastAsia="Calibri" w:hint="cs"/>
          <w:sz w:val="32"/>
          <w:szCs w:val="32"/>
          <w:cs/>
        </w:rPr>
        <w:t xml:space="preserve"> ตุลาการหัวหน้าคณะศาลปกครองสูงสุด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4.</w:t>
      </w:r>
      <w:r>
        <w:rPr>
          <w:rFonts w:eastAsia="Calibri" w:hint="cs"/>
          <w:sz w:val="32"/>
          <w:szCs w:val="32"/>
          <w:cs/>
        </w:rPr>
        <w:t xml:space="preserve"> ตุลาการศาลปกครองสูงสุด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>5.</w:t>
      </w:r>
      <w:r>
        <w:rPr>
          <w:rFonts w:eastAsia="Calibri" w:hint="cs"/>
          <w:sz w:val="32"/>
          <w:szCs w:val="32"/>
          <w:cs/>
        </w:rPr>
        <w:t xml:space="preserve"> ตุลาการศาลปกครองสูงสุด ที่เรียกชื่ออย่างอื่นตามที่ ก.ศป. ประกาศกำหนด เช่น ประธานแผนกคดีต่าง ๆ ในศาลปกครองสูงสุด ซึ่งเทียบเท่าตำแหน่งรองประธานศาลปกครองสูงสุด</w:t>
      </w:r>
    </w:p>
    <w:p w:rsidR="00BB17D5" w:rsidRDefault="00BB17D5" w:rsidP="00BB17D5">
      <w:pPr>
        <w:spacing w:after="0" w:line="240" w:lineRule="auto"/>
        <w:ind w:firstLine="720"/>
        <w:jc w:val="thaiDistribute"/>
        <w:rPr>
          <w:rFonts w:eastAsia="Calibri"/>
          <w:sz w:val="32"/>
          <w:szCs w:val="32"/>
        </w:rPr>
      </w:pPr>
      <w:r>
        <w:rPr>
          <w:rFonts w:eastAsia="Calibri" w:hint="cs"/>
          <w:sz w:val="32"/>
          <w:szCs w:val="32"/>
          <w:cs/>
        </w:rPr>
        <w:t xml:space="preserve">กฎหมายว่าด้วยการจัดตั้งศาลปกครองฯ มาตรา </w:t>
      </w:r>
      <w:r>
        <w:rPr>
          <w:rFonts w:eastAsia="Calibri"/>
          <w:sz w:val="32"/>
          <w:szCs w:val="32"/>
        </w:rPr>
        <w:t xml:space="preserve">12 </w:t>
      </w:r>
      <w:r>
        <w:rPr>
          <w:rFonts w:eastAsia="Calibri" w:hint="cs"/>
          <w:sz w:val="32"/>
          <w:szCs w:val="32"/>
          <w:cs/>
        </w:rPr>
        <w:t xml:space="preserve">กำหนดให้ผู้ที่จะได้รับแต่งตั้งเป็นตุลาการในศาลปกครองสูงสุดต้องมีคุณสมบัติตามมาตรา </w:t>
      </w:r>
      <w:r>
        <w:rPr>
          <w:rFonts w:eastAsia="Calibri"/>
          <w:sz w:val="32"/>
          <w:szCs w:val="32"/>
        </w:rPr>
        <w:t>13</w:t>
      </w:r>
      <w:r>
        <w:rPr>
          <w:rFonts w:eastAsia="Calibri" w:hint="cs"/>
          <w:sz w:val="32"/>
          <w:szCs w:val="32"/>
          <w:cs/>
        </w:rPr>
        <w:t xml:space="preserve"> เช่น มีอายุไม่ต่ำกว่า </w:t>
      </w:r>
      <w:r>
        <w:rPr>
          <w:rFonts w:eastAsia="Calibri"/>
          <w:sz w:val="32"/>
          <w:szCs w:val="32"/>
        </w:rPr>
        <w:t>45</w:t>
      </w:r>
      <w:r>
        <w:rPr>
          <w:rFonts w:eastAsia="Calibri" w:hint="cs"/>
          <w:sz w:val="32"/>
          <w:szCs w:val="32"/>
          <w:cs/>
        </w:rPr>
        <w:t xml:space="preserve"> ปี เป็นผู้ทรงคุณวุฒิในสาขาวิชาตามหลักเกณฑ์ของ ก.ศป. และมีประสบการณ์การทำงานตามที่กำหนด เป็นต้น และไม่มีลักษณะต้องห้ามตามมาตรา </w:t>
      </w:r>
      <w:r>
        <w:rPr>
          <w:rFonts w:eastAsia="Calibri"/>
          <w:sz w:val="32"/>
          <w:szCs w:val="32"/>
        </w:rPr>
        <w:t>14</w:t>
      </w:r>
      <w:r>
        <w:rPr>
          <w:rFonts w:eastAsia="Calibri" w:hint="cs"/>
          <w:sz w:val="32"/>
          <w:szCs w:val="32"/>
          <w:cs/>
        </w:rPr>
        <w:t xml:space="preserve"> เช่น เป็นผู้ดำรงตำแหน่งทางการเมือง เป็นกรรมการในรัฐวิสาหกิจ เป็นต้น ทั้งนี้ การแต่งตั้งตุลาการศาลปกครองสูงสุดให้ ก.ศป. พิจารณาเลื่อนตุลาการในศาลปกครองชั้นต้นซึ่งดำรงตำแหน่งไม่ต่ำกว่าตุลาการหัวหน้าคณะศาลปกครองชั้นต้น หรือพิจารณาคัดเลือกบุคคลซึ่งมิได้ดำรงตำแหน่งตุลาการศาลปกครองในขณะนั้นที่มีคุณสมบัติครบถ้วนตามมาตรา </w:t>
      </w:r>
      <w:r>
        <w:rPr>
          <w:rFonts w:eastAsia="Calibri"/>
          <w:sz w:val="32"/>
          <w:szCs w:val="32"/>
        </w:rPr>
        <w:t>13</w:t>
      </w:r>
      <w:r>
        <w:rPr>
          <w:rFonts w:eastAsia="Calibri" w:hint="cs"/>
          <w:sz w:val="32"/>
          <w:szCs w:val="32"/>
          <w:cs/>
        </w:rPr>
        <w:t xml:space="preserve"> และมีความเหมาะสมที่จะแต่งตั้งเป็นตุลาการศาลปกครองสูงสุด แล้วเสนอรายชื่อต่อนายกรัฐมนตรีเพื่อขอความเห็นชอบต่อวุฒิสภาภายใน </w:t>
      </w:r>
      <w:r>
        <w:rPr>
          <w:rFonts w:eastAsia="Calibri"/>
          <w:sz w:val="32"/>
          <w:szCs w:val="32"/>
        </w:rPr>
        <w:t>15</w:t>
      </w:r>
      <w:r>
        <w:rPr>
          <w:rFonts w:eastAsia="Calibri" w:hint="cs"/>
          <w:sz w:val="32"/>
          <w:szCs w:val="32"/>
          <w:cs/>
        </w:rPr>
        <w:t xml:space="preserve"> วันนับแต่วันที่ได้รับรายชื่อ เมื่อได้รับความเห็นชอบแล้ว ให้</w:t>
      </w:r>
      <w:r>
        <w:rPr>
          <w:rFonts w:eastAsia="Calibri" w:hint="cs"/>
          <w:sz w:val="32"/>
          <w:szCs w:val="32"/>
          <w:cs/>
        </w:rPr>
        <w:lastRenderedPageBreak/>
        <w:t xml:space="preserve">นายกรัฐมนตรีนำความกราบบังคมทูลเพื่อทรงพระกรุณาโปรดเกล้าฯ แต่งตั้งตามมาตรา </w:t>
      </w:r>
      <w:r>
        <w:rPr>
          <w:rFonts w:eastAsia="Calibri"/>
          <w:sz w:val="32"/>
          <w:szCs w:val="32"/>
        </w:rPr>
        <w:t>15</w:t>
      </w:r>
      <w:r>
        <w:rPr>
          <w:rFonts w:eastAsia="Calibri" w:hint="cs"/>
          <w:sz w:val="32"/>
          <w:szCs w:val="32"/>
          <w:cs/>
        </w:rPr>
        <w:t xml:space="preserve"> วรรคหนึ่งและวรรคสาม</w:t>
      </w:r>
    </w:p>
    <w:p w:rsidR="00BB17D5" w:rsidRDefault="00BB17D5" w:rsidP="00BB17D5">
      <w:pPr>
        <w:ind w:firstLine="720"/>
        <w:jc w:val="thaiDistribute"/>
      </w:pPr>
      <w:r>
        <w:rPr>
          <w:rFonts w:eastAsia="Calibri" w:hint="cs"/>
          <w:sz w:val="32"/>
          <w:szCs w:val="32"/>
          <w:cs/>
        </w:rPr>
        <w:t xml:space="preserve">ประธานศาลปกครองสูงสุดเป็น “ประมุข” ของศาลปกครอง มีวาระการดำรงตำแหน่ง </w:t>
      </w:r>
      <w:r>
        <w:rPr>
          <w:rFonts w:eastAsia="Calibri"/>
          <w:sz w:val="32"/>
          <w:szCs w:val="32"/>
        </w:rPr>
        <w:t>4</w:t>
      </w:r>
      <w:r>
        <w:rPr>
          <w:rFonts w:eastAsia="Calibri" w:hint="cs"/>
          <w:sz w:val="32"/>
          <w:szCs w:val="32"/>
          <w:cs/>
        </w:rPr>
        <w:t xml:space="preserve"> ปีนับแต่วันที่ทรงพระกรุณาโปรดเกล้าฯ แต่งตั้ง และให้ดำรงตำแหน่งได้เพียงวาระเดียวตามมาตรา </w:t>
      </w:r>
      <w:r>
        <w:rPr>
          <w:rFonts w:eastAsia="Calibri"/>
          <w:sz w:val="32"/>
          <w:szCs w:val="32"/>
        </w:rPr>
        <w:t>15/2</w:t>
      </w:r>
      <w:r>
        <w:rPr>
          <w:rFonts w:eastAsia="Calibri" w:hint="cs"/>
          <w:sz w:val="32"/>
          <w:szCs w:val="32"/>
          <w:cs/>
        </w:rPr>
        <w:t xml:space="preserve"> วรรคหนึ่ง โดยให้ ก.ศป. พิจารณาคัดเลือกตุลาการในศาลปกครองสูงสุดหนึ่งคน เป็นประธานศาลปกครองสูงสุด แล้วเสนอชื่อต่อนายกรัฐมนตรีเพื่อขอความเห็นชอบต่อวุฒิสภาภายใน </w:t>
      </w:r>
      <w:r>
        <w:rPr>
          <w:rFonts w:eastAsia="Calibri"/>
          <w:sz w:val="32"/>
          <w:szCs w:val="32"/>
        </w:rPr>
        <w:t>15</w:t>
      </w:r>
      <w:r>
        <w:rPr>
          <w:rFonts w:eastAsia="Calibri" w:hint="cs"/>
          <w:sz w:val="32"/>
          <w:szCs w:val="32"/>
          <w:cs/>
        </w:rPr>
        <w:t xml:space="preserve"> วันนับแต่วันที่ได้รับการเสนอชื่อ เมื่อได้รับความเห็นชอบแล้ว ให้นายกรัฐมนตรีนำความกราบบังคมทูลเพื่อทรงพระกรุณาโปรดเกล้าฯ แต่งตั้งตามมาตรา </w:t>
      </w:r>
      <w:r>
        <w:rPr>
          <w:rFonts w:eastAsia="Calibri"/>
          <w:sz w:val="32"/>
          <w:szCs w:val="32"/>
        </w:rPr>
        <w:t>15/1</w:t>
      </w:r>
      <w:r>
        <w:rPr>
          <w:rFonts w:eastAsia="Calibri" w:hint="cs"/>
          <w:sz w:val="32"/>
          <w:szCs w:val="32"/>
          <w:cs/>
        </w:rPr>
        <w:t xml:space="preserve"> วรรคหนึ่ง ทั้งนี้ ประธานศาลปกครองสูงสุดต้องรับผิดชอบให้งานของศาลปกครองเป็นไปด้วยความเรียบร้อย โดยมีรองประธานศาลปกครองสูงสุดช่วยปฏิบัติหน้าที่ตามที่ประธานศาลปกครองสูงสุดมอบหมายตามมาตรา </w:t>
      </w:r>
      <w:r>
        <w:rPr>
          <w:rFonts w:eastAsia="Calibri"/>
          <w:sz w:val="32"/>
          <w:szCs w:val="32"/>
        </w:rPr>
        <w:t>28</w:t>
      </w:r>
      <w:r>
        <w:rPr>
          <w:rFonts w:eastAsia="Calibri" w:hint="cs"/>
          <w:sz w:val="32"/>
          <w:szCs w:val="32"/>
          <w:cs/>
        </w:rPr>
        <w:t xml:space="preserve"> วรรคหนึ่ง</w:t>
      </w:r>
      <w:bookmarkStart w:id="0" w:name="_GoBack"/>
      <w:bookmarkEnd w:id="0"/>
    </w:p>
    <w:sectPr w:rsidR="00BB17D5" w:rsidSect="00C20201">
      <w:pgSz w:w="11906" w:h="16838"/>
      <w:pgMar w:top="2104" w:right="1418" w:bottom="1418" w:left="21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B8F" w:rsidRDefault="002B2B8F" w:rsidP="00C20201">
      <w:pPr>
        <w:spacing w:after="0" w:line="240" w:lineRule="auto"/>
      </w:pPr>
      <w:r>
        <w:separator/>
      </w:r>
    </w:p>
  </w:endnote>
  <w:endnote w:type="continuationSeparator" w:id="0">
    <w:p w:rsidR="002B2B8F" w:rsidRDefault="002B2B8F" w:rsidP="00C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B8F" w:rsidRDefault="002B2B8F" w:rsidP="00C20201">
      <w:pPr>
        <w:spacing w:after="0" w:line="240" w:lineRule="auto"/>
      </w:pPr>
      <w:r>
        <w:separator/>
      </w:r>
    </w:p>
  </w:footnote>
  <w:footnote w:type="continuationSeparator" w:id="0">
    <w:p w:rsidR="002B2B8F" w:rsidRDefault="002B2B8F" w:rsidP="00C20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201"/>
    <w:rsid w:val="002B2B8F"/>
    <w:rsid w:val="004F7512"/>
    <w:rsid w:val="008C770A"/>
    <w:rsid w:val="00BB17D5"/>
    <w:rsid w:val="00C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1412C-F80D-4C45-B14E-4CF762E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20201"/>
    <w:pPr>
      <w:spacing w:after="0" w:line="240" w:lineRule="auto"/>
    </w:pPr>
    <w:rPr>
      <w:rFonts w:cs="Angsana New"/>
      <w:sz w:val="20"/>
      <w:szCs w:val="25"/>
    </w:rPr>
  </w:style>
  <w:style w:type="character" w:customStyle="1" w:styleId="a4">
    <w:name w:val="ข้อความเชิงอรรถ อักขระ"/>
    <w:basedOn w:val="a0"/>
    <w:link w:val="a3"/>
    <w:uiPriority w:val="99"/>
    <w:semiHidden/>
    <w:rsid w:val="00C20201"/>
    <w:rPr>
      <w:rFonts w:cs="Angsana New"/>
      <w:sz w:val="20"/>
      <w:szCs w:val="25"/>
    </w:rPr>
  </w:style>
  <w:style w:type="character" w:styleId="a5">
    <w:name w:val="footnote reference"/>
    <w:basedOn w:val="a0"/>
    <w:uiPriority w:val="99"/>
    <w:semiHidden/>
    <w:unhideWhenUsed/>
    <w:rsid w:val="00C2020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2020-10-28T05:16:00Z</dcterms:created>
  <dcterms:modified xsi:type="dcterms:W3CDTF">2020-10-28T05:16:00Z</dcterms:modified>
</cp:coreProperties>
</file>