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28" w:rsidRPr="00E00EB3" w:rsidRDefault="00215E28" w:rsidP="00215E28">
      <w:pPr>
        <w:spacing w:after="0" w:line="240" w:lineRule="auto"/>
        <w:jc w:val="thaiDistribute"/>
        <w:rPr>
          <w:rFonts w:eastAsia="Calibri"/>
          <w:b/>
          <w:bCs/>
          <w:sz w:val="36"/>
          <w:szCs w:val="36"/>
        </w:rPr>
      </w:pPr>
      <w:r w:rsidRPr="00E00EB3">
        <w:rPr>
          <w:rFonts w:eastAsia="Calibri"/>
          <w:b/>
          <w:bCs/>
          <w:sz w:val="36"/>
          <w:szCs w:val="36"/>
        </w:rPr>
        <w:t>8.</w:t>
      </w:r>
      <w:r w:rsidRPr="00E00EB3">
        <w:rPr>
          <w:rFonts w:eastAsia="Calibri" w:hint="cs"/>
          <w:b/>
          <w:bCs/>
          <w:sz w:val="36"/>
          <w:szCs w:val="36"/>
          <w:cs/>
        </w:rPr>
        <w:t xml:space="preserve"> ข้าราชการฝ่ายศาลปกครอง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ข้าราชการฝ่ายศาลปกครองเป็นข้าราชการในสำนักงานศาลปกครอง ซึ่ง “มิใช่” ข้าราชการตุลาการศาลปกครองตามมาตรา </w:t>
      </w:r>
      <w:r>
        <w:rPr>
          <w:rFonts w:eastAsia="Calibri"/>
          <w:sz w:val="32"/>
          <w:szCs w:val="32"/>
        </w:rPr>
        <w:t>11/1</w:t>
      </w:r>
      <w:r>
        <w:rPr>
          <w:rFonts w:eastAsia="Calibri" w:hint="cs"/>
          <w:sz w:val="32"/>
          <w:szCs w:val="32"/>
          <w:cs/>
        </w:rPr>
        <w:t xml:space="preserve"> (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) โดยแบ่งออกเป็น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ประเภท ได้แก่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 w:rsidRPr="00E00EB3">
        <w:rPr>
          <w:rFonts w:eastAsia="Calibri"/>
          <w:b/>
          <w:bCs/>
          <w:sz w:val="32"/>
          <w:szCs w:val="32"/>
        </w:rPr>
        <w:t>1.</w:t>
      </w:r>
      <w:r w:rsidRPr="00E00EB3">
        <w:rPr>
          <w:rFonts w:eastAsia="Calibri" w:hint="cs"/>
          <w:b/>
          <w:bCs/>
          <w:sz w:val="32"/>
          <w:szCs w:val="32"/>
          <w:cs/>
        </w:rPr>
        <w:t xml:space="preserve"> พนักงานคดีปกครอง</w:t>
      </w:r>
      <w:r>
        <w:rPr>
          <w:rFonts w:eastAsia="Calibri" w:hint="cs"/>
          <w:sz w:val="32"/>
          <w:szCs w:val="32"/>
          <w:cs/>
        </w:rPr>
        <w:t xml:space="preserve"> ทำหน้าที่ช่วยเหลือ “ตุลาการเจ้าของสำนวน” ในการดำเนินคดีปกครองตามที่ตุลาการเจ้าของสำนวนมอบหมาย และปฏิบัติหน้าที่อื่นในสำนักงานศาลปกครองตามที่เลขาธิการสำนักงานศาลปกครองมอบหมายตามมาตรา </w:t>
      </w:r>
      <w:r>
        <w:rPr>
          <w:rFonts w:eastAsia="Calibri"/>
          <w:sz w:val="32"/>
          <w:szCs w:val="32"/>
        </w:rPr>
        <w:t>79</w:t>
      </w:r>
      <w:r>
        <w:rPr>
          <w:rFonts w:eastAsia="Calibri" w:hint="cs"/>
          <w:sz w:val="32"/>
          <w:szCs w:val="32"/>
          <w:cs/>
        </w:rPr>
        <w:t xml:space="preserve"> วรรคหนึ่ง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 w:rsidRPr="00E00EB3">
        <w:rPr>
          <w:rFonts w:eastAsia="Calibri"/>
          <w:b/>
          <w:bCs/>
          <w:sz w:val="32"/>
          <w:szCs w:val="32"/>
        </w:rPr>
        <w:t>2.</w:t>
      </w:r>
      <w:r w:rsidRPr="00E00EB3">
        <w:rPr>
          <w:rFonts w:eastAsia="Calibri" w:hint="cs"/>
          <w:b/>
          <w:bCs/>
          <w:sz w:val="32"/>
          <w:szCs w:val="32"/>
          <w:cs/>
        </w:rPr>
        <w:t xml:space="preserve"> ข้าราชการอื่นนอกจากพนักงานคดีปกครอง</w:t>
      </w:r>
      <w:r>
        <w:rPr>
          <w:rFonts w:eastAsia="Calibri" w:hint="cs"/>
          <w:sz w:val="32"/>
          <w:szCs w:val="32"/>
          <w:cs/>
        </w:rPr>
        <w:t xml:space="preserve"> เช่น เลขาธิการสำนักงานศาลปกครอง รองเลขาธิการสำนักงานศาลปกครอง หรือข้าราชการธุรการด้านต่าง ๆ เป็นต้น 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เลขาธิการสำนักงานศาลปกครองขึ้นตรงต่อ “ประธานศาลปกครองสูงสุด” มีหน้าที่ควบคุมดูแลโดยทั่วไปซึ่งข้าราชการของสำนักงานศาลปกครอง และเป็นผู้บังคับบัญชาข้าราชการในสำนักงานศาลปกครอง โดยมีรองเลขาธิการสำนักงานศาลปกครองเป็นผู้ช่วยสั่งและปฏิบัติราชการตามมาตรา </w:t>
      </w:r>
      <w:r>
        <w:rPr>
          <w:rFonts w:eastAsia="Calibri"/>
          <w:sz w:val="32"/>
          <w:szCs w:val="32"/>
        </w:rPr>
        <w:t>78</w:t>
      </w:r>
      <w:r>
        <w:rPr>
          <w:rFonts w:eastAsia="Calibri" w:hint="cs"/>
          <w:sz w:val="32"/>
          <w:szCs w:val="32"/>
          <w:cs/>
        </w:rPr>
        <w:t xml:space="preserve"> วรรคหนึ่ง ในกิจการของสำนักงานศาลปกครองที่เกี่ยวข้องกับบุคคลภายนอก ให้เลขาธิการสำนักงานศาลปกครองเป็นผู้แทนของสำนักงานศาลปกครองตามมาตรา </w:t>
      </w:r>
      <w:r>
        <w:rPr>
          <w:rFonts w:eastAsia="Calibri"/>
          <w:sz w:val="32"/>
          <w:szCs w:val="32"/>
        </w:rPr>
        <w:t>78</w:t>
      </w:r>
      <w:r>
        <w:rPr>
          <w:rFonts w:eastAsia="Calibri" w:hint="cs"/>
          <w:sz w:val="32"/>
          <w:szCs w:val="32"/>
          <w:cs/>
        </w:rPr>
        <w:t xml:space="preserve"> วรรคสาม 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การแต่งตั้งเลขาธิการสำนักงานศาลปกครอง ให้ประธานศาลปกครองสูงสุดคัดเลือกบุคคลที่เหมาะสมจะดำรงตำแหน่ง โดยความเห็นชอบของ ก.ศป. เสนอต่อนายกรัฐมนตรี และให้นายกรัฐมนตรีนำความกราบบังคมทูลเพื่อทรงพระกรุณาโปรดเกล้าฯ แต่งตั้งต่อไปตามมาตรา </w:t>
      </w:r>
      <w:r>
        <w:rPr>
          <w:rFonts w:eastAsia="Calibri"/>
          <w:sz w:val="32"/>
          <w:szCs w:val="32"/>
        </w:rPr>
        <w:t>78</w:t>
      </w:r>
      <w:r>
        <w:rPr>
          <w:rFonts w:eastAsia="Calibri" w:hint="cs"/>
          <w:sz w:val="32"/>
          <w:szCs w:val="32"/>
          <w:cs/>
        </w:rPr>
        <w:t xml:space="preserve"> วรรคสอง และให้มีวาระในการดำรงตำแหน่ง 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 xml:space="preserve"> ปี นับแต่วันที่ได้รับแต่งตั้ง แต่ประธานศาลปกครองสูงสุดโดยความเห็นชอบของ ก.ศป. อาจขยายเวลาการดำรงตำแหน่งได้อีกไม่เกิน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ครั้ง ๆ ละ 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 xml:space="preserve"> ปี ตามมาตรา </w:t>
      </w:r>
      <w:r>
        <w:rPr>
          <w:rFonts w:eastAsia="Calibri"/>
          <w:sz w:val="32"/>
          <w:szCs w:val="32"/>
        </w:rPr>
        <w:t>78</w:t>
      </w:r>
      <w:r>
        <w:rPr>
          <w:rFonts w:eastAsia="Calibri" w:hint="cs"/>
          <w:sz w:val="32"/>
          <w:szCs w:val="32"/>
          <w:cs/>
        </w:rPr>
        <w:t xml:space="preserve"> วรรคสี่</w:t>
      </w:r>
    </w:p>
    <w:p w:rsidR="00215E28" w:rsidRDefault="00215E28" w:rsidP="00215E28">
      <w:pPr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การได้มาซึ่งเลขาธิการสำนักงานศาลปกครองอีกวิธีการหนึ่ง คือ เลขาธิการสำนักงานศาลปกครองอาจแต่งตั้งจากตุลาการศาลปกครองโดยความเห็นชอบของ ก.ศป. และเมื่อทรงพระกรุณาโปรดเกล้าฯ แต่งตั้งแล้ว ให้พ้นจากตำแหน่งตุลาการศาลปกครองตามมาตรา </w:t>
      </w:r>
      <w:r>
        <w:rPr>
          <w:rFonts w:eastAsia="Calibri"/>
          <w:sz w:val="32"/>
          <w:szCs w:val="32"/>
        </w:rPr>
        <w:t>78/1</w:t>
      </w:r>
      <w:r>
        <w:rPr>
          <w:rFonts w:eastAsia="Calibri" w:hint="cs"/>
          <w:sz w:val="32"/>
          <w:szCs w:val="32"/>
          <w:cs/>
        </w:rPr>
        <w:t xml:space="preserve"> วรรคหนึ่ง เลขาธิการสำนักงานศาลปกครองที่ได้รับการแต่งตั้งจากตุลาการศาลปกครองตามวิธีการนี้ให้มีวาระการดำรงตำแหน่ง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ปีนับแต่วันที่ได้รับแต่งตั้ง โดยอาจได้รับแต่งตั้งใหม่ได้แต่ไม่เกิน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วาระติดต่อกัน เว้นแต่ ประธานศาลปกครองสูงสุดโดยความเห็นชอบของ ก.ศป. มีคำสั่งให้พ้นจากตำแหน่งก่อนครบกำหนดเวลาดังกล่าวตามมาตรา </w:t>
      </w:r>
      <w:r>
        <w:rPr>
          <w:rFonts w:eastAsia="Calibri"/>
          <w:sz w:val="32"/>
          <w:szCs w:val="32"/>
        </w:rPr>
        <w:t xml:space="preserve">78/1 </w:t>
      </w:r>
      <w:r>
        <w:rPr>
          <w:rFonts w:eastAsia="Calibri" w:hint="cs"/>
          <w:sz w:val="32"/>
          <w:szCs w:val="32"/>
          <w:cs/>
        </w:rPr>
        <w:t>วรรคสอง</w:t>
      </w:r>
    </w:p>
    <w:p w:rsidR="00215E28" w:rsidRDefault="00215E28" w:rsidP="00215E28">
      <w:pPr>
        <w:rPr>
          <w:rFonts w:eastAsia="Calibri"/>
          <w:sz w:val="32"/>
          <w:szCs w:val="32"/>
        </w:rPr>
      </w:pPr>
    </w:p>
    <w:p w:rsidR="00215E28" w:rsidRPr="007A5EB6" w:rsidRDefault="00215E28" w:rsidP="00215E28">
      <w:pPr>
        <w:spacing w:after="0" w:line="240" w:lineRule="auto"/>
        <w:jc w:val="thaiDistribute"/>
        <w:rPr>
          <w:rFonts w:eastAsia="Calibri"/>
          <w:b/>
          <w:bCs/>
          <w:sz w:val="36"/>
          <w:szCs w:val="36"/>
        </w:rPr>
      </w:pPr>
      <w:r w:rsidRPr="007A5EB6">
        <w:rPr>
          <w:rFonts w:eastAsia="Calibri"/>
          <w:b/>
          <w:bCs/>
          <w:sz w:val="36"/>
          <w:szCs w:val="36"/>
        </w:rPr>
        <w:t>9.</w:t>
      </w:r>
      <w:r w:rsidRPr="007A5EB6">
        <w:rPr>
          <w:rFonts w:eastAsia="Calibri" w:hint="cs"/>
          <w:b/>
          <w:bCs/>
          <w:sz w:val="36"/>
          <w:szCs w:val="36"/>
          <w:cs/>
        </w:rPr>
        <w:t xml:space="preserve"> คณะกรรมการตุลาการศาลปกครอง 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คณะกรรมการตุลาการศาลปกครอง (ก.ศป.) ประกอบด้วย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1.</w:t>
      </w:r>
      <w:r>
        <w:rPr>
          <w:rFonts w:eastAsia="Calibri" w:hint="cs"/>
          <w:sz w:val="32"/>
          <w:szCs w:val="32"/>
          <w:cs/>
        </w:rPr>
        <w:t xml:space="preserve"> ประธานศาลปกครองสูงสุด เป็นประธานกรรมการ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2.</w:t>
      </w:r>
      <w:r>
        <w:rPr>
          <w:rFonts w:eastAsia="Calibri" w:hint="cs"/>
          <w:sz w:val="32"/>
          <w:szCs w:val="32"/>
          <w:cs/>
        </w:rPr>
        <w:t xml:space="preserve"> กรรมการตุลาการศาลปกครองผู้ทรงคุณวุฒิที่เป็นตุลาการในศาลปกครอง จำนวน </w:t>
      </w:r>
      <w:r>
        <w:rPr>
          <w:rFonts w:eastAsia="Calibri"/>
          <w:sz w:val="32"/>
          <w:szCs w:val="32"/>
        </w:rPr>
        <w:t>10</w:t>
      </w:r>
      <w:r>
        <w:rPr>
          <w:rFonts w:eastAsia="Calibri" w:hint="cs"/>
          <w:sz w:val="32"/>
          <w:szCs w:val="32"/>
          <w:cs/>
        </w:rPr>
        <w:t xml:space="preserve"> คน ดังนี้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lastRenderedPageBreak/>
        <w:tab/>
      </w:r>
      <w:r>
        <w:rPr>
          <w:rFonts w:eastAsia="Calibri"/>
          <w:sz w:val="32"/>
          <w:szCs w:val="32"/>
        </w:rPr>
        <w:t>2.1</w:t>
      </w:r>
      <w:r>
        <w:rPr>
          <w:rFonts w:eastAsia="Calibri" w:hint="cs"/>
          <w:sz w:val="32"/>
          <w:szCs w:val="32"/>
          <w:cs/>
        </w:rPr>
        <w:t xml:space="preserve"> ตุลาการในศาลปกครองสูงสุด จำนวน </w:t>
      </w:r>
      <w:r>
        <w:rPr>
          <w:rFonts w:eastAsia="Calibri"/>
          <w:sz w:val="32"/>
          <w:szCs w:val="32"/>
        </w:rPr>
        <w:t>6</w:t>
      </w:r>
      <w:r>
        <w:rPr>
          <w:rFonts w:eastAsia="Calibri" w:hint="cs"/>
          <w:sz w:val="32"/>
          <w:szCs w:val="32"/>
          <w:cs/>
        </w:rPr>
        <w:t xml:space="preserve"> คน ซึ่งได้รับเลือกจากตุลาการในศาลปกครองสูงสุด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</w:rPr>
        <w:t>2.2</w:t>
      </w:r>
      <w:r>
        <w:rPr>
          <w:rFonts w:eastAsia="Calibri" w:hint="cs"/>
          <w:sz w:val="32"/>
          <w:szCs w:val="32"/>
          <w:cs/>
        </w:rPr>
        <w:t xml:space="preserve"> ตุลาการในศาลปกครองชั้นต้น จำนวน 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 xml:space="preserve"> คน ซึ่งได้รับเลือกจากตุลาการในศาลปกครองชั้นต้น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3.</w:t>
      </w:r>
      <w:r>
        <w:rPr>
          <w:rFonts w:eastAsia="Calibri" w:hint="cs"/>
          <w:sz w:val="32"/>
          <w:szCs w:val="32"/>
          <w:cs/>
        </w:rPr>
        <w:t xml:space="preserve"> กรรมการตุลาการศาลปกครองผู้ทรงคุณวุฒิซึ่งไม่เป็นหรือเคยเป็นตุลาการในศาลปกครอง จำนวน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คน ที่ได้รับเลือกจากตุลาการในศาลปกครองสูงสุดและตุลาการในศาลปกครองชั้นต้น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ให้เลขาธิการสำนักงานศาลปกครอง เป็นเลขานุการของ ก.ศป. และให้ ก.ศป. แต่งตั้งข้าราชการฝ่ายศาลปกครองจำนวนไม่เกิน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คน เป็นผู้ช่วยเลขานุการ</w:t>
      </w:r>
    </w:p>
    <w:p w:rsidR="00215E28" w:rsidRDefault="00215E28" w:rsidP="00215E28">
      <w:r>
        <w:rPr>
          <w:rFonts w:eastAsia="Calibri" w:hint="cs"/>
          <w:sz w:val="32"/>
          <w:szCs w:val="32"/>
          <w:cs/>
        </w:rPr>
        <w:t>ก.ศป. มีอำนาจหน้าที่หลักในการ “บริหารงานบุคคล” ของข้าราชการตุลาการศาลปกครอง คล้ายกับคณะกรรมการตุลาการศาลยุติธรรม (ก.ต.) เช่น ให้ความเห็นชอบในการแต่งตั้ง การเลื่อนตำแหน่ง การเลื่อนเงินเดือน การลงโทษและการพ้นจากตำแหน่งของตุลาการศาลปกครอง ให้ความเห็นชอบในการแต่งตั้งเลขาธิการสำนักงานศาลปกครอง เป็นต้น</w:t>
      </w:r>
    </w:p>
    <w:p w:rsidR="00215E28" w:rsidRDefault="00215E28" w:rsidP="00215E28"/>
    <w:p w:rsidR="00215E28" w:rsidRPr="003C324A" w:rsidRDefault="00215E28" w:rsidP="00215E28">
      <w:pPr>
        <w:spacing w:after="0" w:line="240" w:lineRule="auto"/>
        <w:jc w:val="thaiDistribute"/>
        <w:rPr>
          <w:rFonts w:eastAsia="Calibri"/>
          <w:b/>
          <w:bCs/>
          <w:sz w:val="36"/>
          <w:szCs w:val="36"/>
        </w:rPr>
      </w:pPr>
      <w:r w:rsidRPr="003C324A">
        <w:rPr>
          <w:rFonts w:eastAsia="Calibri"/>
          <w:b/>
          <w:bCs/>
          <w:sz w:val="36"/>
          <w:szCs w:val="36"/>
        </w:rPr>
        <w:t>10.</w:t>
      </w:r>
      <w:r w:rsidRPr="003C324A">
        <w:rPr>
          <w:rFonts w:eastAsia="Calibri" w:hint="cs"/>
          <w:b/>
          <w:bCs/>
          <w:sz w:val="36"/>
          <w:szCs w:val="36"/>
          <w:cs/>
        </w:rPr>
        <w:t xml:space="preserve"> คณะกรรมการบริหารศาลปกครอง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 w:hint="cs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คณะกรรมการบริหารศาลปกครอง (ก.บ.ศป.) ประกอบด้วย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1.</w:t>
      </w:r>
      <w:r>
        <w:rPr>
          <w:rFonts w:eastAsia="Calibri" w:hint="cs"/>
          <w:sz w:val="32"/>
          <w:szCs w:val="32"/>
          <w:cs/>
        </w:rPr>
        <w:t xml:space="preserve"> ประธานศาลปกครองสูงสุด เป็นประธานกรรมการ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2.</w:t>
      </w:r>
      <w:r>
        <w:rPr>
          <w:rFonts w:eastAsia="Calibri" w:hint="cs"/>
          <w:sz w:val="32"/>
          <w:szCs w:val="32"/>
          <w:cs/>
        </w:rPr>
        <w:t xml:space="preserve"> เลขาธิการคณะกรรมการกฤษฎีกา และเลขาธิการคณะกรรมการข้าราชการพลเรือน เป็นกรรมการ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3.</w:t>
      </w:r>
      <w:r>
        <w:rPr>
          <w:rFonts w:eastAsia="Calibri" w:hint="cs"/>
          <w:sz w:val="32"/>
          <w:szCs w:val="32"/>
          <w:cs/>
        </w:rPr>
        <w:t xml:space="preserve"> กรรมการบริหารศาลปกครองผู้ทรงคุณวุฒิที่เป็นตุลาการศาลปกครอง จำนวน </w:t>
      </w:r>
      <w:r>
        <w:rPr>
          <w:rFonts w:eastAsia="Calibri"/>
          <w:sz w:val="32"/>
          <w:szCs w:val="32"/>
        </w:rPr>
        <w:t>8</w:t>
      </w:r>
      <w:r>
        <w:rPr>
          <w:rFonts w:eastAsia="Calibri" w:hint="cs"/>
          <w:sz w:val="32"/>
          <w:szCs w:val="32"/>
          <w:cs/>
        </w:rPr>
        <w:t xml:space="preserve"> คน ดังนี้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</w:rPr>
        <w:t>3.1</w:t>
      </w:r>
      <w:r>
        <w:rPr>
          <w:rFonts w:eastAsia="Calibri" w:hint="cs"/>
          <w:sz w:val="32"/>
          <w:szCs w:val="32"/>
          <w:cs/>
        </w:rPr>
        <w:t xml:space="preserve"> ตุลาการในศาลปกครองสูงสุด จำนวน 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 xml:space="preserve"> คน ซึ่งได้รับเลือกจากตุลาการในศาลปกครองสูงสุด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</w:rPr>
        <w:t>3.2</w:t>
      </w:r>
      <w:r>
        <w:rPr>
          <w:rFonts w:eastAsia="Calibri" w:hint="cs"/>
          <w:sz w:val="32"/>
          <w:szCs w:val="32"/>
          <w:cs/>
        </w:rPr>
        <w:t xml:space="preserve"> ตุลาการในศาลปกครองชั้นต้น จำนวน 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 xml:space="preserve"> คน ซึ่งได้รับเลือกจากตุลาการในศาลปกครองชั้นต้น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4.</w:t>
      </w:r>
      <w:r>
        <w:rPr>
          <w:rFonts w:eastAsia="Calibri" w:hint="cs"/>
          <w:sz w:val="32"/>
          <w:szCs w:val="32"/>
          <w:cs/>
        </w:rPr>
        <w:t xml:space="preserve"> กรรมการบริหารศาลปกครองผู้ทรงคุณวุฒิที่เป็นข้าราชฝ่ายศาลปกครองในระดับไม่ต่ำกว่าที่ ก.ศป. กำหนด จำนวน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คน ซึ่งได้รับเลือกจากข้าราชการฝ่ายศาลปกครอง ตามวิธีการที่ ก.ศป. ประกาศกำหนด โดยความเห็นชอบของที่ประชุมใหญ่ตุลาการในศาลปกครองสูงสุด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5.</w:t>
      </w:r>
      <w:r>
        <w:rPr>
          <w:rFonts w:eastAsia="Calibri" w:hint="cs"/>
          <w:sz w:val="32"/>
          <w:szCs w:val="32"/>
          <w:cs/>
        </w:rPr>
        <w:t xml:space="preserve"> กรรมการบริหารศาลปกครองผู้ทรงคุณวุฒิด้านการงบประมาณ ด้านการพัฒนาองค์กร และด้านการบริหารจัดการ ที่ไม่เป็นหรือไม่เคยเป็นข้าราชการศาลปกครอง ด้านละ 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 xml:space="preserve"> คน ซึ่งได้รับเลือกจากประธานกรรมการและกรรมการตามข้อ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ข้อ </w:t>
      </w:r>
      <w:r>
        <w:rPr>
          <w:rFonts w:eastAsia="Calibri"/>
          <w:sz w:val="32"/>
          <w:szCs w:val="32"/>
        </w:rPr>
        <w:t>3</w:t>
      </w:r>
      <w:r>
        <w:rPr>
          <w:rFonts w:eastAsia="Calibri" w:hint="cs"/>
          <w:sz w:val="32"/>
          <w:szCs w:val="32"/>
          <w:cs/>
        </w:rPr>
        <w:t xml:space="preserve"> และข้อ </w:t>
      </w:r>
      <w:r>
        <w:rPr>
          <w:rFonts w:eastAsia="Calibri"/>
          <w:sz w:val="32"/>
          <w:szCs w:val="32"/>
        </w:rPr>
        <w:t>4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ให้เลขาธิการสำนักงานศาลปกครอง เป็นกรรมการและเลขานุการ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ให้รองเลขาธิการสำนักงานศาลปกครองที่เลขาธิการสำนักงานศาลปกครองมอบหมาย เป็นผู้ช่วยเลขานุการ</w:t>
      </w:r>
    </w:p>
    <w:p w:rsidR="00215E28" w:rsidRDefault="00215E28" w:rsidP="00215E28">
      <w:pPr>
        <w:ind w:firstLine="720"/>
        <w:jc w:val="thaiDistribute"/>
      </w:pPr>
      <w:r>
        <w:rPr>
          <w:rFonts w:eastAsia="Calibri" w:hint="cs"/>
          <w:sz w:val="32"/>
          <w:szCs w:val="32"/>
          <w:cs/>
        </w:rPr>
        <w:t xml:space="preserve">ก.บ.ศป. มีอำนาจหน้าที่กำกับดูแลการบริหารราชการศาลปกครองและสำนักงานศาลปกครอง ในส่วนที่ไม่อยู่ในอำนาจหน้าที่ของที่ประชุมใหญ่ตุลาการในศาลปกครองสูงสุด หรือ ก.ศป. หรือ ก.ขป. </w:t>
      </w:r>
      <w:r>
        <w:rPr>
          <w:rFonts w:eastAsia="Calibri" w:hint="cs"/>
          <w:sz w:val="32"/>
          <w:szCs w:val="32"/>
          <w:cs/>
        </w:rPr>
        <w:lastRenderedPageBreak/>
        <w:t>ให้เป็นไปตามกฎหมาย ระเบียบ แบบแผน ประเพณีปฏิบัติของทางราชการ และนโยบายของประธานศาลปกครองสูงสุด โดยทำหน้าที่คล้ายกับคณะกรรมการบริหารศาลยุติธรรม (ก.บ.ศ.) เช่น ออกระเบียบ ประกาศ หรือหลักเกณฑ์เกี่ยวกับการบริหารราชการศาลปกครองและสำนักงานศาลปกครอง ออกระเบียบเกี่ยวกับการงบประมาณ การเงินและทรัพย์สิน รวมทั้งการพัสดุของสำนักงานศาลปกครอง ออกระเบียบเกี่ยวกับการจัดสวัสดิการ และการสงเคราะห์อื่นแก่ข้าราชการศาลปกครอง พนักงานราชการ และลูกจ้างสำนักงานศาลปกครอง เป็นต้น</w:t>
      </w:r>
    </w:p>
    <w:p w:rsidR="00215E28" w:rsidRDefault="00215E28" w:rsidP="00215E28">
      <w:pPr>
        <w:ind w:firstLine="720"/>
        <w:jc w:val="thaiDistribute"/>
      </w:pPr>
    </w:p>
    <w:p w:rsidR="00215E28" w:rsidRPr="00BC3B5F" w:rsidRDefault="00215E28" w:rsidP="00215E28">
      <w:pPr>
        <w:spacing w:after="0" w:line="240" w:lineRule="auto"/>
        <w:jc w:val="thaiDistribute"/>
        <w:rPr>
          <w:rFonts w:eastAsia="Calibri"/>
          <w:b/>
          <w:bCs/>
          <w:sz w:val="36"/>
          <w:szCs w:val="36"/>
        </w:rPr>
      </w:pPr>
      <w:r w:rsidRPr="00BC3B5F">
        <w:rPr>
          <w:rFonts w:eastAsia="Calibri"/>
          <w:b/>
          <w:bCs/>
          <w:sz w:val="36"/>
          <w:szCs w:val="36"/>
        </w:rPr>
        <w:t>11.</w:t>
      </w:r>
      <w:r w:rsidRPr="00BC3B5F">
        <w:rPr>
          <w:rFonts w:eastAsia="Calibri" w:hint="cs"/>
          <w:b/>
          <w:bCs/>
          <w:sz w:val="36"/>
          <w:szCs w:val="36"/>
          <w:cs/>
        </w:rPr>
        <w:t xml:space="preserve"> คณะกรรมการข้าราชการฝ่ายศาลปกครอง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คณะกรรมการข้าราชการฝ่ายศาลปกครอง (ก.ขป.) ประกอบด้วย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1. </w:t>
      </w:r>
      <w:r>
        <w:rPr>
          <w:rFonts w:eastAsia="Calibri" w:hint="cs"/>
          <w:sz w:val="32"/>
          <w:szCs w:val="32"/>
          <w:cs/>
        </w:rPr>
        <w:t>ประธานศาลปกครองสูงสุด หรือรองประธานศาลปกครองสูงสุดที่ประธานศาลปกครองสูงสุดมอบหมาย เป็นประธานกรรมการ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2.</w:t>
      </w:r>
      <w:r>
        <w:rPr>
          <w:rFonts w:eastAsia="Calibri" w:hint="cs"/>
          <w:sz w:val="32"/>
          <w:szCs w:val="32"/>
          <w:cs/>
        </w:rPr>
        <w:t xml:space="preserve"> เลขาธิการสำนักงานศาลปกครอง และเลขาธิการคณะกรรมการข้าราชการพลเรือน เป็นกรรมการ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3.</w:t>
      </w:r>
      <w:r>
        <w:rPr>
          <w:rFonts w:eastAsia="Calibri" w:hint="cs"/>
          <w:sz w:val="32"/>
          <w:szCs w:val="32"/>
          <w:cs/>
        </w:rPr>
        <w:t xml:space="preserve"> กรรมการข้าราชการฝ่ายศาลปกครองผู้ทรงคุณวุฒิที่เป็นตุลาการศาลปกครองจำนวน 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 xml:space="preserve"> คน ซึ่งได้รับเลือกจากตุลาการในศาลปกครองสูงสุด จำนวน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คน และได้รับเลือกจากตุลาการในศาลปกครองชั้นต้น จำนวน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คน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4.</w:t>
      </w:r>
      <w:r>
        <w:rPr>
          <w:rFonts w:eastAsia="Calibri" w:hint="cs"/>
          <w:sz w:val="32"/>
          <w:szCs w:val="32"/>
          <w:cs/>
        </w:rPr>
        <w:t xml:space="preserve"> กรรมการข้าราชการฝ่ายศาลปกครองผู้ทรงคุณวุฒิที่เป็นข้าราชการฝ่ายศาลปกครองในระดับไม่ต่ำกว่าที่ ก.ศป. กำหนด จำนวน 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 xml:space="preserve"> คน ซึ่งได้รับเลือกจากข้าราชการฝ่ายศาลปกครอง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5.</w:t>
      </w:r>
      <w:r>
        <w:rPr>
          <w:rFonts w:eastAsia="Calibri" w:hint="cs"/>
          <w:sz w:val="32"/>
          <w:szCs w:val="32"/>
          <w:cs/>
        </w:rPr>
        <w:t xml:space="preserve"> กรรมการข้าราชการฝ่ายศาลปกครองผู้ทรงคุณวุฒิด้านการพัฒนาองค์กรและด้านการบริหารจัดการ ที่ไม่เป็นหรือไม่เคยเป็นข้าราชการศาลปกครอง ด้านละ 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 xml:space="preserve"> คน ซึ่งได้รับเลือกจากประธานกรรมการและกรรมการตามข้อ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ข้อ </w:t>
      </w:r>
      <w:r>
        <w:rPr>
          <w:rFonts w:eastAsia="Calibri"/>
          <w:sz w:val="32"/>
          <w:szCs w:val="32"/>
        </w:rPr>
        <w:t>3</w:t>
      </w:r>
      <w:r>
        <w:rPr>
          <w:rFonts w:eastAsia="Calibri" w:hint="cs"/>
          <w:sz w:val="32"/>
          <w:szCs w:val="32"/>
          <w:cs/>
        </w:rPr>
        <w:t xml:space="preserve"> และข้อ 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 xml:space="preserve"> 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ให้ ก.ขป. แต่งตั้งข้าราชการฝ่ายศาลปกครอง เป็นเลขานุการ และผู้ช่วยเลขานุการ</w:t>
      </w:r>
    </w:p>
    <w:p w:rsidR="00215E28" w:rsidRDefault="00215E28" w:rsidP="00215E28">
      <w:pPr>
        <w:ind w:firstLine="720"/>
        <w:jc w:val="thaiDistribute"/>
      </w:pPr>
      <w:r>
        <w:rPr>
          <w:rFonts w:eastAsia="Calibri" w:hint="cs"/>
          <w:sz w:val="32"/>
          <w:szCs w:val="32"/>
          <w:cs/>
        </w:rPr>
        <w:t>ก.ขป. มีอำนาจออกระเบียบหรือประกาศเกี่ยวกับการบริหารงานบุคคลและการดำเนินการอื่นของสำนักงานศาลปกครอง คล้ายกับคณะกรรมการข้าราชการศาลยุติธรรม (ก.ศ.) เช่น การกำหนดคุณสมบัติ การคัดเลือก การบรรจุ การแต่งตั้ง การทดลองปฏิบัติหน้าที่ราชการ การย้าย การเลื่อนตำแหน่ง การพ้นจากตำแหน่ง การเลื่อนเงินเดือน การออกจากราชการ วินัย การสอบสวน การสั่งพักราชการ การสั่งให้ออกจากราชการไว้ก่อน และการลงโทษทางวินัย การร้องทุกข์ และการอุทธรณ์การลงโทษสำหรับข้าราชการฝ่ายศาลปกครอง การรักษาราชการแทนและการปฏิบัติราชการแทนในตำแหน่งของข้าราชการฝ่ายศาลปกครอง การกำหนดวิธีการและเงื่อนไขในการจ้างพนักงานราชการและลูกจ้างสำนักงานศาลปกครอง การกำหนดเครื่องแบบและการแต่งกาย วินัย การสอบสวนและการลงโทษทางวินัย การร้องทุกข์ การอุทธรณ์ การรักษาทะเบียนประวัติ รวมทั้งการอื่นที่จำเป็นของพนักงานราชการและลูกจ้างสำนักงานศาลปกครอง เป็นต้น</w:t>
      </w:r>
    </w:p>
    <w:p w:rsidR="00215E28" w:rsidRDefault="00215E28" w:rsidP="00215E28">
      <w:pPr>
        <w:ind w:firstLine="720"/>
        <w:jc w:val="thaiDistribute"/>
      </w:pPr>
    </w:p>
    <w:p w:rsidR="00215E28" w:rsidRPr="005F63DA" w:rsidRDefault="00215E28" w:rsidP="00215E28">
      <w:pPr>
        <w:spacing w:after="0" w:line="240" w:lineRule="auto"/>
        <w:jc w:val="thaiDistribute"/>
        <w:rPr>
          <w:rFonts w:eastAsia="Calibri"/>
          <w:b/>
          <w:bCs/>
          <w:sz w:val="36"/>
          <w:szCs w:val="36"/>
        </w:rPr>
      </w:pPr>
      <w:r w:rsidRPr="005F63DA">
        <w:rPr>
          <w:rFonts w:eastAsia="Calibri"/>
          <w:b/>
          <w:bCs/>
          <w:sz w:val="36"/>
          <w:szCs w:val="36"/>
        </w:rPr>
        <w:lastRenderedPageBreak/>
        <w:t>12.</w:t>
      </w:r>
      <w:r w:rsidRPr="005F63DA">
        <w:rPr>
          <w:rFonts w:eastAsia="Calibri" w:hint="cs"/>
          <w:b/>
          <w:bCs/>
          <w:sz w:val="36"/>
          <w:szCs w:val="36"/>
          <w:cs/>
        </w:rPr>
        <w:t xml:space="preserve"> สำนักงานศาลปกครอง</w:t>
      </w:r>
    </w:p>
    <w:p w:rsidR="00215E28" w:rsidRDefault="00215E28" w:rsidP="00215E28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215E28" w:rsidRDefault="00215E28" w:rsidP="00215E28">
      <w:pPr>
        <w:ind w:firstLine="720"/>
        <w:jc w:val="thaiDistribute"/>
      </w:pPr>
      <w:r>
        <w:rPr>
          <w:rFonts w:eastAsia="Calibri" w:hint="cs"/>
          <w:sz w:val="32"/>
          <w:szCs w:val="32"/>
          <w:cs/>
        </w:rPr>
        <w:t>สำนักงานศาลปกครองเป็นส่วนราชการที่เป็นหน่วยงานอิสระตามรัฐธรรมนูญ และมีฐานะเป็นนิติบุคคล</w:t>
      </w:r>
      <w:bookmarkStart w:id="0" w:name="_GoBack"/>
      <w:bookmarkEnd w:id="0"/>
      <w:r>
        <w:rPr>
          <w:rFonts w:eastAsia="Calibri" w:hint="cs"/>
          <w:sz w:val="32"/>
          <w:szCs w:val="32"/>
          <w:cs/>
        </w:rPr>
        <w:t xml:space="preserve"> ทำหน้าที่เป็น “หน่วยงานธุรการ” ของศาลปกครองคล้ายกับสำนักงานศาลยุติธรรม โดยมีอำนาจหน้าที่หลายประการตามมาตรา </w:t>
      </w:r>
      <w:r>
        <w:rPr>
          <w:rFonts w:eastAsia="Calibri"/>
          <w:sz w:val="32"/>
          <w:szCs w:val="32"/>
        </w:rPr>
        <w:t>77</w:t>
      </w:r>
      <w:r>
        <w:rPr>
          <w:rFonts w:eastAsia="Calibri" w:hint="cs"/>
          <w:sz w:val="32"/>
          <w:szCs w:val="32"/>
          <w:cs/>
        </w:rPr>
        <w:t xml:space="preserve"> เช่น รับผิดชอบในงานธุรการของศาลปกครอง ดำเนินการเกี่ยวกับคดีปกครองตามคำสั่งของศาลปกครอง ดำเนินการบังคับให้เป็นไปตามคำบังคับของศาลปกครอง ศึกษาและรวบรวมข้อมูลเพื่อประโยชน์แก่การปฏิบัติงานของศาลปกครอง วิเคราะห์เหตุแห่งการฟ้องคดีปกครองเพื่อเสนอแนะแนวทางการปรับปรุงวิธีปฏิบัติราชการต่อหน่วยงานของรัฐที่เกี่ยวข้อง จัดพิมพ์และเผยแพร่คำพิพากษาหรือคำสั่งของศาลปกครอง จัดให้มีการศึกษาอบรมและพัฒนาความรู้ของตุลาการศาลปกครอง ข้าราชการฝ่ายศาลปกครอง และเจ้าหน้าที่อื่นของรัฐที่เกี่ยวข้อง ตลอดจนประสานงานกับหน่วยงานอื่นที่เกี่ยวข้องเพื่อพัฒนาหลักกฎหมายมหาชน การบริหารราชการแผ่นดิน และบุคลากรด้านกฎหมายมหาชน เป็นต้น</w:t>
      </w:r>
    </w:p>
    <w:sectPr w:rsidR="00215E28" w:rsidSect="00215E28">
      <w:pgSz w:w="11906" w:h="16838"/>
      <w:pgMar w:top="2104" w:right="1418" w:bottom="1418" w:left="21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0C" w:rsidRDefault="00D8460C" w:rsidP="00215E28">
      <w:pPr>
        <w:spacing w:after="0" w:line="240" w:lineRule="auto"/>
      </w:pPr>
      <w:r>
        <w:separator/>
      </w:r>
    </w:p>
  </w:endnote>
  <w:endnote w:type="continuationSeparator" w:id="0">
    <w:p w:rsidR="00D8460C" w:rsidRDefault="00D8460C" w:rsidP="0021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0C" w:rsidRDefault="00D8460C" w:rsidP="00215E28">
      <w:pPr>
        <w:spacing w:after="0" w:line="240" w:lineRule="auto"/>
      </w:pPr>
      <w:r>
        <w:separator/>
      </w:r>
    </w:p>
  </w:footnote>
  <w:footnote w:type="continuationSeparator" w:id="0">
    <w:p w:rsidR="00D8460C" w:rsidRDefault="00D8460C" w:rsidP="00215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28"/>
    <w:rsid w:val="00215E28"/>
    <w:rsid w:val="004F7512"/>
    <w:rsid w:val="00D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2BF17-55D4-475D-8658-3831A9A6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5E28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215E28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215E2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2020-10-28T05:10:00Z</dcterms:created>
  <dcterms:modified xsi:type="dcterms:W3CDTF">2020-10-28T05:18:00Z</dcterms:modified>
</cp:coreProperties>
</file>