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46" w:rsidRPr="0058044E" w:rsidRDefault="002D3546" w:rsidP="002D3546">
      <w:pPr>
        <w:spacing w:after="0" w:line="240" w:lineRule="auto"/>
        <w:jc w:val="thaiDistribute"/>
        <w:rPr>
          <w:rFonts w:eastAsia="Cordia New"/>
          <w:b/>
          <w:bCs/>
          <w:sz w:val="36"/>
          <w:szCs w:val="36"/>
          <w:lang w:eastAsia="zh-CN"/>
        </w:rPr>
      </w:pPr>
      <w:r w:rsidRPr="0058044E">
        <w:rPr>
          <w:rFonts w:eastAsia="Calibri"/>
          <w:b/>
          <w:bCs/>
          <w:sz w:val="36"/>
          <w:szCs w:val="36"/>
        </w:rPr>
        <w:t>3.</w:t>
      </w:r>
      <w:r w:rsidRPr="0058044E">
        <w:rPr>
          <w:rFonts w:eastAsia="Calibri" w:hint="cs"/>
          <w:b/>
          <w:bCs/>
          <w:sz w:val="36"/>
          <w:szCs w:val="36"/>
          <w:cs/>
        </w:rPr>
        <w:t xml:space="preserve"> คดีพิพาทที่อยู่ในอำนาจของศาลปกครองสูงสุด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ได้กำหนดประเภทของคดีปกครองที่อยู่ในอำนาจของศาลปกครองสูงสุดไว้เป็นการเฉพาะในมาตรา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โดยกฎหมายได้กำหนดให้ศาลปกครองสูงสุดมีอำนาจพิจารณาพิพากษาคดีปกครอง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ประเภท</w:t>
      </w:r>
    </w:p>
    <w:p w:rsidR="002D3546" w:rsidRPr="0058044E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58044E">
        <w:rPr>
          <w:rFonts w:eastAsia="Calibri"/>
          <w:b/>
          <w:bCs/>
          <w:sz w:val="32"/>
          <w:szCs w:val="32"/>
        </w:rPr>
        <w:t>3.1</w:t>
      </w:r>
      <w:r w:rsidRPr="0058044E">
        <w:rPr>
          <w:rFonts w:eastAsia="Calibri" w:hint="cs"/>
          <w:b/>
          <w:bCs/>
          <w:sz w:val="32"/>
          <w:szCs w:val="32"/>
          <w:cs/>
        </w:rPr>
        <w:t xml:space="preserve"> คดีเกี่ยวกับคำวินิจฉัยของคณะกรรมการวินิจฉัยข้อพิพาท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กฎหมายว่าด้วยการจัดตั้งศาลปกครองฯ ได้ให้คำนิยามของคณะกรรมการวินิจฉัยข้อพิพาทไว้ในมาตรา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ดังนี้</w:t>
      </w:r>
    </w:p>
    <w:p w:rsidR="002D3546" w:rsidRPr="008F1FEA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8F1FEA">
        <w:rPr>
          <w:rFonts w:eastAsia="Cordia New" w:hint="cs"/>
          <w:i/>
          <w:iCs/>
          <w:sz w:val="32"/>
          <w:szCs w:val="32"/>
          <w:cs/>
          <w:lang w:eastAsia="zh-CN"/>
        </w:rPr>
        <w:t>“คณะกรรมการวินิจฉัยข้อพิพาท” หมายความว่า คณะกรรมการที่จัดตั้งขึ้นตามกฎหมายที่มีการจัดองค์กรและวิธีพิจารณาสำหรับการวินิจฉัยชี้ขาดสิทธิและหน้าที่ตามกฎหมาย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จากคำนิยามข้างต้น จะเห็นได้ว่าคณะกรรมการวินิจฉัยข้อพิพาทที่คำวินิจฉัยอาจนำมาฟ้องต่อศาลปกครองสูงสุดได้โดยตรงนั้น ต้องมีลักษณะสำคัญ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ประการคือ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1.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เป็นคณะกรรมการที่จัดตั้งขึ้นตามกฎหมาย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เป็นคณะกรรมการที่มีอำนาจหน้าที่วินิจฉัยชี้ขาดสิทธิหน้าที่ตามกฎหมาย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3.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มีการจัดองค์กรและวิธีพิจารณาสำหรับวินิจฉัยชี้ขาดสิทธิหน้าที่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ในปัจจุบัน คณะกรรมการวินิจฉัยข้อพิพาทที่มีลักษณะตามบทนิยามข้างต้น ได้แก่</w:t>
      </w:r>
    </w:p>
    <w:p w:rsidR="002D3546" w:rsidRPr="00EE5137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ก. คณะกรรมการข้าราชการบางประเภท ในกรณีที่วินิจฉัยอุทธรณ์เกี่ยวกับการลงโทษทางวินัย เช่น คณะกรรมการข้าราชการอัยการ คณะกรรมการข้าราชการรัฐสภา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>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ข. คณะกรรมการควบคุมการประกอบวิชาชีพต่าง ๆ ในกรณีที่วินิจฉัยเกี่ยวกับการประพฤติผิดจริยธรรมหรือจรรยาบรรณหรือมรรยาทแห่งวิชาชีพ เช่น คณะกรรมการแพทยสภาตามพระราชบัญญัติวิชาชีพเวชกรรม พ.ศ. </w:t>
      </w:r>
      <w:r>
        <w:rPr>
          <w:rFonts w:eastAsia="Cordia New"/>
          <w:sz w:val="32"/>
          <w:szCs w:val="32"/>
          <w:lang w:eastAsia="zh-CN"/>
        </w:rPr>
        <w:t>2525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คณะกรรมการสภาการพยาบาลตามพระราชบัญญัติวิชาชีพการพยาบาลและการผดุงครรภ์ พ.ศ. </w:t>
      </w:r>
      <w:r>
        <w:rPr>
          <w:rFonts w:eastAsia="Cordia New"/>
          <w:sz w:val="32"/>
          <w:szCs w:val="32"/>
          <w:lang w:eastAsia="zh-CN"/>
        </w:rPr>
        <w:t>2528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หรือคณะกรรมการมาตรฐานวิชาชีพตามพระราชบัญญัติสภาครูและบุคลากรทางการศึกษา พ.ศ. </w:t>
      </w:r>
      <w:r>
        <w:rPr>
          <w:rFonts w:eastAsia="Cordia New"/>
          <w:sz w:val="32"/>
          <w:szCs w:val="32"/>
          <w:lang w:eastAsia="zh-CN"/>
        </w:rPr>
        <w:t xml:space="preserve">2546 </w:t>
      </w:r>
      <w:r>
        <w:rPr>
          <w:rFonts w:eastAsia="Cordia New" w:hint="cs"/>
          <w:sz w:val="32"/>
          <w:szCs w:val="32"/>
          <w:cs/>
          <w:lang w:eastAsia="zh-CN"/>
        </w:rPr>
        <w:t>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ค. คณะกรรมการพิจารณาอุทธรณ์หรือวินิจฉัยชี้ขาดข้อพิพาทตามกฎหมายเฉพาะเรื่อง เช่น คณะกรรมการพิจารณาอุทธรณ์ตามพระราชบัญญัติควบคุมอาคาร พ.ศ. </w:t>
      </w:r>
      <w:r>
        <w:rPr>
          <w:rFonts w:eastAsia="Cordia New"/>
          <w:sz w:val="32"/>
          <w:szCs w:val="32"/>
          <w:lang w:eastAsia="zh-CN"/>
        </w:rPr>
        <w:t>2522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คณะกรรมการวินิจฉัยการเปิดเผยข้อมูลข่าวสารตามพระราชบัญญัติข้อมูลข่าวสารของราชการ พ.ศ. </w:t>
      </w:r>
      <w:r>
        <w:rPr>
          <w:rFonts w:eastAsia="Cordia New"/>
          <w:sz w:val="32"/>
          <w:szCs w:val="32"/>
          <w:lang w:eastAsia="zh-CN"/>
        </w:rPr>
        <w:t>2540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อย่างไรก็ดี จนถึงปัจจุบันนี้ ที่ประชุมใหญ่ของตุลาการศาลปกครองในศาลปกครองสูงสุดยัง “ไม่มี” ประกาศกำหนดให้คำวินิจฉัยของคณะกรรมการวินิจฉัยข้อพิพาทใด เป็นคำวินิจฉัยที่อาจฟ้องคดี “โดยตรง” ต่อศาลปกครองสูงสุดตามมาตรา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 ดังนั้น ในขณะนี้ผู้ที่ต้องการโต้แย้งคำวินิจฉัยของคณะกรรมการวินิจฉัยข้อพิพาทต่าง ๆ จึงต้องยื่นฟ้องเป็นคดีปกครองต่อ </w:t>
      </w:r>
      <w:r w:rsidRPr="0002013B">
        <w:rPr>
          <w:rFonts w:eastAsia="Cordia New" w:hint="cs"/>
          <w:i/>
          <w:iCs/>
          <w:sz w:val="32"/>
          <w:szCs w:val="32"/>
          <w:cs/>
          <w:lang w:eastAsia="zh-CN"/>
        </w:rPr>
        <w:t>“ศาลปกครองชั้นต้น”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เช่นเดียวกับการฟ้องโต้แย้งคำสั่งทางปกครองของหน่วยงานทางปกครองหรือเจ้าหน้าที่ของรัฐโดยทั่วไป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Pr="0002013B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02013B">
        <w:rPr>
          <w:rFonts w:eastAsia="Calibri"/>
          <w:b/>
          <w:bCs/>
          <w:sz w:val="32"/>
          <w:szCs w:val="32"/>
        </w:rPr>
        <w:lastRenderedPageBreak/>
        <w:t>3.2</w:t>
      </w:r>
      <w:r w:rsidRPr="0002013B">
        <w:rPr>
          <w:rFonts w:eastAsia="Calibri" w:hint="cs"/>
          <w:b/>
          <w:bCs/>
          <w:sz w:val="32"/>
          <w:szCs w:val="32"/>
          <w:cs/>
        </w:rPr>
        <w:t xml:space="preserve"> คดีเกี่ยวกับความชอบด้วยกฎหมายของพระราชกฤษฎีกาหรือกฎ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คดีพิพาทที่อยู่ในอำนาจของศาลปกครองสูงสุดตามมาตรา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) แห่งพระราชบัญญัติจัดตั้งศาลปกครองและวิธีพิจารณาคดีปกครอง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ได้แก่</w:t>
      </w:r>
    </w:p>
    <w:p w:rsidR="002D3546" w:rsidRPr="002E1401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2E1401">
        <w:rPr>
          <w:rFonts w:eastAsia="Cordia New"/>
          <w:b/>
          <w:bCs/>
          <w:sz w:val="32"/>
          <w:szCs w:val="32"/>
          <w:lang w:eastAsia="zh-CN"/>
        </w:rPr>
        <w:t>1.</w:t>
      </w:r>
      <w:r w:rsidRPr="002E1401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คดีพิพาทเกี่ยวกับความชอบด้วยกฎหมายของพระราชกฤษฎีกา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โดยที่พระราชกฤษฎีกาเป็นอนุบัญญัติที่มีลำดับชั้นสูงสุด เพราะการออกพระราชกฤษฎีกาเป็นพระราชอำนาจของพระมหากษัตริย์ ดังนั้น ในการโต้แย้งเรื่องความชอบด้วยกฎหมายของพระราชกฤษฎีกานั้น กฎหมายว่าด้วยการจัดตั้งศาลปกครองฯ จึงได้บัญญัติให้สามารถใช้สิทธิโต้แย้งโดยตรงต่อศาลปกครองสูงสุด</w:t>
      </w:r>
    </w:p>
    <w:p w:rsidR="002D3546" w:rsidRPr="002E1401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2E1401">
        <w:rPr>
          <w:rFonts w:eastAsia="Cordia New"/>
          <w:b/>
          <w:bCs/>
          <w:sz w:val="32"/>
          <w:szCs w:val="32"/>
          <w:lang w:eastAsia="zh-CN"/>
        </w:rPr>
        <w:t>2.</w:t>
      </w:r>
      <w:r w:rsidRPr="002E1401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คดีพิพาทเกี่ยวกับความชอบด้วยกฎหมายของกฎที่ออกโดยคณะรัฐมนตรีหรือโดยความเห็นชอบของคณะรัฐมนตรี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“กฎที่ออกโดยคณะรัฐมนตรี” ได้แก่ ระเบียบที่ออกโดยคณะรัฐมนตรีตามมาตรา </w:t>
      </w:r>
      <w:r>
        <w:rPr>
          <w:rFonts w:eastAsia="Cordia New"/>
          <w:sz w:val="32"/>
          <w:szCs w:val="32"/>
          <w:lang w:eastAsia="zh-CN"/>
        </w:rPr>
        <w:t>13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แห่งพระราชบัญญัติความรับผิดทางละเมิดของเจ้าหน้าที่ พ.ศ. </w:t>
      </w:r>
      <w:r>
        <w:rPr>
          <w:rFonts w:eastAsia="Cordia New"/>
          <w:sz w:val="32"/>
          <w:szCs w:val="32"/>
          <w:lang w:eastAsia="zh-CN"/>
        </w:rPr>
        <w:t>2539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เพื่อให้เจ้าหน้าที่ซึ่งต้องรับผิดตามมาตรา </w:t>
      </w:r>
      <w:r>
        <w:rPr>
          <w:rFonts w:eastAsia="Cordia New"/>
          <w:sz w:val="32"/>
          <w:szCs w:val="32"/>
          <w:lang w:eastAsia="zh-CN"/>
        </w:rPr>
        <w:t>8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และมาตรา </w:t>
      </w:r>
      <w:r>
        <w:rPr>
          <w:rFonts w:eastAsia="Cordia New"/>
          <w:sz w:val="32"/>
          <w:szCs w:val="32"/>
          <w:lang w:eastAsia="zh-CN"/>
        </w:rPr>
        <w:t>10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แห่งพระราชบัญญัติดังกล่าวสามารถผ่อนชำระเงินที่จะต้องรับผิดนั้นได้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“กฎที่ออกโดยความเห็นชอบของคณะรัฐมนตรี” ได้แก่ กฎกระทรวง ซึ่งแม้ว่าตามกฎหมายแล้วอำนาจในการออกกฎกระทรวงจะเป็นของรัฐมนตรีผู้รักษาการตามกฎหมายก็ตาม แต่ก็มีระเบียบปฏิบัติของทางราชการที่ยึดถือกันมาโดยตลอดว่า การออกกฎกระทรวงนั้นจะต้องได้รับความเห็นชอบของคณะรัฐมนตรีเสียก่อน และกฎ ก.พ. ซึ่งพระราชบัญญัติระเบียบข้าราชการพลเรือน พ.ศ. </w:t>
      </w:r>
      <w:r>
        <w:rPr>
          <w:rFonts w:eastAsia="Cordia New"/>
          <w:sz w:val="32"/>
          <w:szCs w:val="32"/>
          <w:lang w:eastAsia="zh-CN"/>
        </w:rPr>
        <w:t>2535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8</w:t>
      </w:r>
      <w:r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/>
          <w:sz w:val="32"/>
          <w:szCs w:val="32"/>
          <w:lang w:eastAsia="zh-CN"/>
        </w:rPr>
        <w:t>5</w:t>
      </w:r>
      <w:r>
        <w:rPr>
          <w:rFonts w:eastAsia="Cordia New" w:hint="cs"/>
          <w:sz w:val="32"/>
          <w:szCs w:val="32"/>
          <w:cs/>
          <w:lang w:eastAsia="zh-CN"/>
        </w:rPr>
        <w:t>) บัญญัติว่าจะต้องได้รับอนุมัติจากคณะรัฐมนตรีก่อนและเมื่อประกาศในราชกิจจานุเบกษาแล้ว จึงจะใช้บังคับได้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Pr="002E1401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2E1401">
        <w:rPr>
          <w:rFonts w:eastAsia="Calibri"/>
          <w:b/>
          <w:bCs/>
          <w:sz w:val="32"/>
          <w:szCs w:val="32"/>
        </w:rPr>
        <w:t>3.3</w:t>
      </w:r>
      <w:r w:rsidRPr="002E1401">
        <w:rPr>
          <w:rFonts w:eastAsia="Calibri" w:hint="cs"/>
          <w:b/>
          <w:bCs/>
          <w:sz w:val="32"/>
          <w:szCs w:val="32"/>
          <w:cs/>
        </w:rPr>
        <w:t xml:space="preserve"> คดีที่มีกฎหมายกำหนดให้อยู่ในอำนาจของศาลปกครองสูงสุด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กฎหมายที่กำหนดให้คดีอยู่ในอำนาจของศาลปกครองสูงสุด เช่น</w:t>
      </w:r>
    </w:p>
    <w:p w:rsidR="002D3546" w:rsidRPr="00C06432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D743A2">
        <w:rPr>
          <w:rFonts w:eastAsia="Cordia New"/>
          <w:b/>
          <w:bCs/>
          <w:sz w:val="32"/>
          <w:szCs w:val="32"/>
          <w:lang w:eastAsia="zh-CN"/>
        </w:rPr>
        <w:t>1.</w:t>
      </w:r>
      <w:r w:rsidRPr="00D743A2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พระราชบัญญัติประกอบรัฐธรรมนูญว่าด้วยคณะกรรมการการเลือกตั้ง พ.ศ. </w:t>
      </w:r>
      <w:r w:rsidRPr="00D743A2">
        <w:rPr>
          <w:rFonts w:eastAsia="Cordia New"/>
          <w:b/>
          <w:bCs/>
          <w:sz w:val="32"/>
          <w:szCs w:val="32"/>
          <w:lang w:eastAsia="zh-CN"/>
        </w:rPr>
        <w:t>2560</w:t>
      </w:r>
      <w:r w:rsidRPr="00D743A2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มาตรา </w:t>
      </w:r>
      <w:r w:rsidRPr="00D743A2">
        <w:rPr>
          <w:rFonts w:eastAsia="Cordia New"/>
          <w:b/>
          <w:bCs/>
          <w:sz w:val="32"/>
          <w:szCs w:val="32"/>
          <w:lang w:eastAsia="zh-CN"/>
        </w:rPr>
        <w:t>33</w:t>
      </w: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t>“เมื่อปรากฏหลักฐานอันควรเชื่อได้ว่ามีบุคคลใดดำเนินการด้านธุรกรรมทางการเงิน ผลิตหรือเตรียมการผลิตวัสดุอุปกรณ์ที่อาจใช้ในการจัดการเลือกตั้งโดยไม่มีอำนาจ ใช้เงินหรือทรัพย์สินหรืออิทธิพลคุกคามเพื่อให้คุณให้โทษแก่ผู้สมัครหรือพรรคการเมือง หรือดำเนินการอื่นตามที่คณะกรรมการกำหนดอันจะเป็นผลให้การเลือกตั้งมิได้เป็นไปโดยสุจริตหรือเที่ยงธรรม หรือเป็นไปโดยมิชอบด้วยกฎหมาย ให้คณะกรรมการมีอำนาจสั่งให้บุคคลนั้นระงับการดำเนินการนั้นไว้เป็นการชั่วคราวภายในเวลาที่กำหนดแต่ต้องไม่เกินหกสิบวั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t>ผู้ได้รับคำสั่งตามวรรคหนึ่งมีสิทธิร้องขอต่อศาลปกครองสูงสุดให้เพิกถอนคำสั่งนั้นได้ และถ้าศาลปกครองสูงสุดเห็นว่าการดำเนินการของบุคคลนั้นมิได้เป็นไปเพื่อให้การเลือกตั้งมิได้เป็นไปโดยสุจริตหรือเที่ยงธรรม หรือเป็นไปโดยมิชอบด้วยกฎหมาย ให้ศาลปกครองสูงสุดสั่งเพิกถอนคำสั่งนั้น”</w:t>
      </w:r>
    </w:p>
    <w:p w:rsidR="002D3546" w:rsidRPr="00C06432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C06432">
        <w:rPr>
          <w:rFonts w:eastAsia="Cordia New"/>
          <w:b/>
          <w:bCs/>
          <w:sz w:val="32"/>
          <w:szCs w:val="32"/>
          <w:lang w:eastAsia="zh-CN"/>
        </w:rPr>
        <w:t>2.</w:t>
      </w:r>
      <w:r w:rsidRPr="00C06432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พระราชบัญญัติบัญญัติระเบียบข้าราชการพลเรือน พ.ศ. </w:t>
      </w:r>
      <w:r w:rsidRPr="00C06432">
        <w:rPr>
          <w:rFonts w:eastAsia="Cordia New"/>
          <w:b/>
          <w:bCs/>
          <w:sz w:val="32"/>
          <w:szCs w:val="32"/>
          <w:lang w:eastAsia="zh-CN"/>
        </w:rPr>
        <w:t>2551</w:t>
      </w:r>
      <w:r w:rsidRPr="00C06432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มาตรา </w:t>
      </w:r>
      <w:r w:rsidRPr="00C06432">
        <w:rPr>
          <w:rFonts w:eastAsia="Cordia New"/>
          <w:b/>
          <w:bCs/>
          <w:sz w:val="32"/>
          <w:szCs w:val="32"/>
          <w:lang w:eastAsia="zh-CN"/>
        </w:rPr>
        <w:t>116</w:t>
      </w: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“เมื่อ ก.พ.ค. พิจารณาวินิจฉัยอุทธรณ์แล้ว ให้ผู้บังคับบัญชาซึ่งมีอำนาจสั่งบรรจุตามมาตรา </w:t>
      </w:r>
      <w:r w:rsidRPr="00C06432">
        <w:rPr>
          <w:rFonts w:eastAsia="Cordia New"/>
          <w:i/>
          <w:iCs/>
          <w:sz w:val="32"/>
          <w:szCs w:val="32"/>
          <w:lang w:eastAsia="zh-CN"/>
        </w:rPr>
        <w:t>57</w:t>
      </w: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ดำเนินการให้เป็นไปตามคำวินิจฉัยนั้นภายในสามสิบวันนับแต่วันที่ ก.พ.ค. มีคำวินิจฉัย</w:t>
      </w:r>
    </w:p>
    <w:p w:rsidR="002D3546" w:rsidRPr="00C06432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>ในกรณีที่ผู้อุทธรณ์ไม่เห็นด้วยกับคำวินิจฉัยอุทธรณ์ของ ก.พ.ค. ให้ฟ้องคดีต่อศาลปกครองสูงสุดภายในเก้าสิบวันนับแต่วันที่ทราบหรือถือว่าทราบคำวินิจฉัยของ ก.พ.ค.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C06432">
        <w:rPr>
          <w:rFonts w:eastAsia="Cordia New" w:hint="cs"/>
          <w:i/>
          <w:iCs/>
          <w:sz w:val="32"/>
          <w:szCs w:val="32"/>
          <w:cs/>
          <w:lang w:eastAsia="zh-CN"/>
        </w:rPr>
        <w:t>ผู้บังคับบัญชาผู้ใดไม่ปฏิบัติตามวรรคหนึ่ง ให้ถือว่าเป็นการจงใจละเว้นการปฏิบัติหน้าที่โดยมิชอบเพื่อให้เกิดความเสียหายแก่บุคคลอื่น”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Pr="00CB4B95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B4B95">
        <w:rPr>
          <w:rFonts w:eastAsia="Calibri"/>
          <w:b/>
          <w:bCs/>
          <w:sz w:val="32"/>
          <w:szCs w:val="32"/>
        </w:rPr>
        <w:t>3.4</w:t>
      </w:r>
      <w:r w:rsidRPr="00CB4B95">
        <w:rPr>
          <w:rFonts w:eastAsia="Calibri" w:hint="cs"/>
          <w:b/>
          <w:bCs/>
          <w:sz w:val="32"/>
          <w:szCs w:val="32"/>
          <w:cs/>
        </w:rPr>
        <w:t xml:space="preserve"> คดีที่อุทธรณ์คำพิพากษาหรือคำสั่งของศาลปกครองชั้นต้น</w:t>
      </w:r>
    </w:p>
    <w:p w:rsidR="004F7512" w:rsidRDefault="002D3546" w:rsidP="002D3546">
      <w:pPr>
        <w:ind w:firstLine="720"/>
        <w:jc w:val="thaiDistribute"/>
      </w:pPr>
      <w:r>
        <w:rPr>
          <w:rFonts w:eastAsia="Cordia New" w:hint="cs"/>
          <w:sz w:val="32"/>
          <w:szCs w:val="32"/>
          <w:cs/>
          <w:lang w:eastAsia="zh-CN"/>
        </w:rPr>
        <w:t xml:space="preserve">ตามหลักการถ่วงดุลอำนาจระหว่างศาลที่อยู่ในลำดับชั้นต่างกัน ในคดีปกครอง คดีที่อุทธรณ์คำพิพากษาหรือคำสั่งของศาลปกครองชั้นต้น ย่อมถือเป็นคดีที่อยู่ในอำนาจพิจารณาพิพากษาของศาลปกครองสูงสุด ทั้งนี้ ตามที่มาตรา </w:t>
      </w:r>
      <w:r>
        <w:rPr>
          <w:rFonts w:eastAsia="Cordia New"/>
          <w:sz w:val="32"/>
          <w:szCs w:val="32"/>
          <w:lang w:eastAsia="zh-CN"/>
        </w:rPr>
        <w:t>11</w:t>
      </w:r>
      <w:r>
        <w:rPr>
          <w:rFonts w:eastAsia="Cordia New" w:hint="cs"/>
          <w:sz w:val="32"/>
          <w:szCs w:val="32"/>
          <w:cs/>
          <w:lang w:eastAsia="zh-CN"/>
        </w:rPr>
        <w:t xml:space="preserve"> (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) แห่งพระราชบัญญัติจัดตั้งศาลปกครองและวิธีพิจารณาคดีปกครอง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บัญญัติ</w:t>
      </w:r>
    </w:p>
    <w:p w:rsidR="002D3546" w:rsidRDefault="002D3546" w:rsidP="002D3546">
      <w:pPr>
        <w:ind w:firstLine="720"/>
        <w:jc w:val="thaiDistribute"/>
      </w:pPr>
    </w:p>
    <w:p w:rsidR="002D3546" w:rsidRPr="00CB4B95" w:rsidRDefault="002D3546" w:rsidP="002D3546">
      <w:pPr>
        <w:spacing w:after="0" w:line="240" w:lineRule="auto"/>
        <w:jc w:val="thaiDistribute"/>
        <w:rPr>
          <w:rFonts w:eastAsia="Cordia New"/>
          <w:b/>
          <w:bCs/>
          <w:sz w:val="36"/>
          <w:szCs w:val="36"/>
          <w:lang w:eastAsia="zh-CN"/>
        </w:rPr>
      </w:pPr>
      <w:r w:rsidRPr="00CB4B95">
        <w:rPr>
          <w:rFonts w:eastAsia="Calibri"/>
          <w:b/>
          <w:bCs/>
          <w:sz w:val="36"/>
          <w:szCs w:val="36"/>
        </w:rPr>
        <w:t>4.</w:t>
      </w:r>
      <w:r w:rsidRPr="00CB4B95">
        <w:rPr>
          <w:rFonts w:eastAsia="Calibri" w:hint="cs"/>
          <w:b/>
          <w:bCs/>
          <w:sz w:val="36"/>
          <w:szCs w:val="36"/>
          <w:cs/>
        </w:rPr>
        <w:t xml:space="preserve"> คดีที่ไม่อยู่ในอำนาจของศาลปกครอง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การที่จะพิจารณาว่าคดีใดเป็นคดีที่ไม่อยู่ในอำนาจพิจารณาพิพากษาของศาลปกครอง อาจแยกพิจารณาได้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ประการ ได้แก่ </w:t>
      </w:r>
      <w:r>
        <w:rPr>
          <w:rFonts w:eastAsia="Cordia New"/>
          <w:sz w:val="32"/>
          <w:szCs w:val="32"/>
          <w:lang w:eastAsia="zh-CN"/>
        </w:rPr>
        <w:t>1</w:t>
      </w:r>
      <w:r>
        <w:rPr>
          <w:rFonts w:eastAsia="Cordia New" w:hint="cs"/>
          <w:sz w:val="32"/>
          <w:szCs w:val="32"/>
          <w:cs/>
          <w:lang w:eastAsia="zh-CN"/>
        </w:rPr>
        <w:t xml:space="preserve">) คดีตามบทบัญญัติมาตรา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วรรคสอง แห่งกฎหมายว่าด้วยการจัดตั้งศาลปกครองฯ 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) กรณีที่มีกฎหมายพิเศษตัดอำนาจของศาลปกครองโดยเฉพาะ และ 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>) กรณีที่ศาลปกครองมีแนวคำวินิจฉัยว่าไม่อยู่ในอำนาจของศาลปกครอง</w:t>
      </w:r>
    </w:p>
    <w:p w:rsidR="002D3546" w:rsidRPr="00F44E15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cs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  <w:r w:rsidRPr="00F44E15">
        <w:rPr>
          <w:rFonts w:eastAsia="Calibri"/>
          <w:b/>
          <w:bCs/>
          <w:sz w:val="32"/>
          <w:szCs w:val="32"/>
        </w:rPr>
        <w:t xml:space="preserve">4.1 </w:t>
      </w:r>
      <w:r w:rsidRPr="00F44E15">
        <w:rPr>
          <w:rFonts w:eastAsia="Calibri" w:hint="cs"/>
          <w:b/>
          <w:bCs/>
          <w:sz w:val="32"/>
          <w:szCs w:val="32"/>
          <w:cs/>
        </w:rPr>
        <w:t>คดีตามบทบัญญัติแห่งกฎหมายว่าด้วยการจัดตั้งศาลปกครองฯ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F44E15"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 w:rsidRPr="00F44E15">
        <w:rPr>
          <w:rFonts w:eastAsia="Cordia New"/>
          <w:sz w:val="32"/>
          <w:szCs w:val="32"/>
          <w:lang w:eastAsia="zh-CN"/>
        </w:rPr>
        <w:t>2542</w:t>
      </w:r>
      <w:r w:rsidRPr="00F44E15"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 w:rsidRPr="00F44E15">
        <w:rPr>
          <w:rFonts w:eastAsia="Cordia New"/>
          <w:sz w:val="32"/>
          <w:szCs w:val="32"/>
          <w:lang w:eastAsia="zh-CN"/>
        </w:rPr>
        <w:t>9</w:t>
      </w:r>
      <w:r w:rsidRPr="00F44E15">
        <w:rPr>
          <w:rFonts w:eastAsia="Cordia New" w:hint="cs"/>
          <w:sz w:val="32"/>
          <w:szCs w:val="32"/>
          <w:cs/>
          <w:lang w:eastAsia="zh-CN"/>
        </w:rPr>
        <w:t xml:space="preserve"> วรรคสอง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ได้กำหนดประเภทของคดีที่ “ไม่อยู่” ในอำนาจพิจารณาพิพากษาของศาลปกครอง ได้แก่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 w:hint="cs"/>
          <w:sz w:val="32"/>
          <w:szCs w:val="32"/>
          <w:lang w:eastAsia="zh-CN"/>
        </w:rPr>
      </w:pPr>
      <w:r w:rsidRPr="00F44E15">
        <w:rPr>
          <w:rFonts w:eastAsia="Cordia New"/>
          <w:b/>
          <w:bCs/>
          <w:sz w:val="32"/>
          <w:szCs w:val="32"/>
          <w:lang w:eastAsia="zh-CN"/>
        </w:rPr>
        <w:t>1.</w:t>
      </w:r>
      <w:r w:rsidRPr="00F44E15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การดำเนินการเกี่ยวกับวินัยทหาร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การดำเนินการทางวินัยทหารตามพระราชบัญญัติว่าด้วยวินัยทหาร พุทธศักราช </w:t>
      </w:r>
      <w:r>
        <w:rPr>
          <w:rFonts w:eastAsia="Cordia New"/>
          <w:sz w:val="32"/>
          <w:szCs w:val="32"/>
          <w:lang w:eastAsia="zh-CN"/>
        </w:rPr>
        <w:t>2476</w:t>
      </w:r>
      <w:r>
        <w:rPr>
          <w:rFonts w:eastAsia="Cordia New" w:hint="cs"/>
          <w:sz w:val="32"/>
          <w:szCs w:val="32"/>
          <w:cs/>
          <w:lang w:eastAsia="zh-CN"/>
        </w:rPr>
        <w:t xml:space="preserve"> ซึ่งได้กำหนดทัณฑ์ที่จะลงแก่ผู้กระทำผิดต่อวินัยทหารไว้ </w:t>
      </w:r>
      <w:r>
        <w:rPr>
          <w:rFonts w:eastAsia="Cordia New"/>
          <w:sz w:val="32"/>
          <w:szCs w:val="32"/>
          <w:lang w:eastAsia="zh-CN"/>
        </w:rPr>
        <w:t>5</w:t>
      </w:r>
      <w:r>
        <w:rPr>
          <w:rFonts w:eastAsia="Cordia New" w:hint="cs"/>
          <w:sz w:val="32"/>
          <w:szCs w:val="32"/>
          <w:cs/>
          <w:lang w:eastAsia="zh-CN"/>
        </w:rPr>
        <w:t xml:space="preserve"> สถาน ได้แก่ ภาคทัณฑ์ ทัณฑกรรม กัก ขัง และจำขัง และยังรวมถึงคดีพิพาทเกี่ยวกับคำสั่งปลดออกจากราชการที่เป็นผลมาจากการดำเนินการทางวินัยด้วย เช่น ฟ้องว่าผู้ฟ้องคดีซึ่งเป็นเรืออากาศตรีถูกสั่งปลดออกจากราชการเนื่องจากกระทำผิดวินัยทหารฐานประพฤติตนไม่สมควรโดยปลอมและใช้เอกสารราชการปลอม กันเป็นผลมาจากการดำเนินการเกี่ยวกับวินัยทหารตามกฎหมายว่าด้วยวินัยทหาร เป็นคดีที่ไม่อยู่ในอำนาจศาลปกครอง 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 w:hint="cs"/>
          <w:sz w:val="32"/>
          <w:szCs w:val="32"/>
          <w:lang w:eastAsia="zh-CN"/>
        </w:rPr>
      </w:pPr>
      <w:r w:rsidRPr="00670473">
        <w:rPr>
          <w:rFonts w:eastAsia="Cordia New"/>
          <w:b/>
          <w:bCs/>
          <w:sz w:val="32"/>
          <w:szCs w:val="32"/>
          <w:lang w:eastAsia="zh-CN"/>
        </w:rPr>
        <w:t>2.</w:t>
      </w:r>
      <w:r w:rsidRPr="00670473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การดำเนินการของคณะกรรมการตุลาการตามกฎหมายว่าด้วยระเบียบข้าราชการฝ่ายตุลาการ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ได้แก่ การดำเนินการของ ก.ต.  ซึ่งเป็นไปในเรื่องของการบริหารงานบุคคล เช่น การให้ความเห็นชอบในการโยกย้ายผู้พิพากษา การลงโทษทางวินัย หรือการเลื่อนตำแหน่ง เป็นต้น แม้ว่าการกระทำดังกล่าวจะถือเป็นการกระทำทางปกครองประเภทหนึ่งก็ตาม แต่บทบัญญัติมาตรา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วรรคสอง แห่งกฎหมายว่าด้วยการจัดตั้งศาลปกครองฯ ก็ได้ยกเว้นให้ไม่ต้องนำมาฟ้องต่อศาลปกครอง โดยอาศัยเหตุผลในด้านความเป็นอิสระในการปฏิบัติหน้าที่ของผู้พิพากษานั่นเอง อย่างไรก็ดี ข้อยกเว้นในเรื่องของการดำเนินการของคณะกรรมการตุลาการ หรือ ก.ต. นี้ให้รวมไปถึงการดำเนินการของเจ้าหน้าที่อื่นที่เป็นกระบวนการเดียวกับการดำเนินการของ ก.ต. ด้วย เช่น ในเรื่องการลงโทษทางวินัยแก่ผู้</w:t>
      </w:r>
      <w:r>
        <w:rPr>
          <w:rFonts w:eastAsia="Cordia New" w:hint="cs"/>
          <w:sz w:val="32"/>
          <w:szCs w:val="32"/>
          <w:cs/>
          <w:lang w:eastAsia="zh-CN"/>
        </w:rPr>
        <w:lastRenderedPageBreak/>
        <w:t xml:space="preserve">พิพากษาศาลยุติธรรม ซึ่งเป็นข้าราชการตุลาการ ศาลปกครองสูงสุดได้วินิจฉัยว่า </w:t>
      </w:r>
      <w:r w:rsidRPr="007938F1">
        <w:rPr>
          <w:rFonts w:eastAsia="Cordia New" w:hint="cs"/>
          <w:i/>
          <w:iCs/>
          <w:sz w:val="32"/>
          <w:szCs w:val="32"/>
          <w:cs/>
          <w:lang w:eastAsia="zh-CN"/>
        </w:rPr>
        <w:t>“ในทุกขั้นตอนของการดำเนินการทางวินัย ไม่ว่าจะเป็นการแต่งตั้งคณะกรรมการสอบสวน การสอบสวน การพิจารณาความผิดและกำหนดโทษ และการลงโทษ ล้วนเป็นการดำเนินการที่ต่อเนื่องเชื่อมโยงเป็นกระบวนการเดียวกัน ไม่อาจแยกออกจากกันได้อย่างเด็ดขาด”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ดังนั้น ถือว่ากรณีที่เป็นการดำเนินการทางวินัยผู้พิพากษาทุกขั้นตอนดังกล่าวนั้น ถือเป็นส่วนหนึ่งของการดำเนินการของคณะกรรมการตุลาการตามกฎหมายว่าด้วยระเบียบข้าราชการฝ่ายตุลาการด้วยเช่นกัน จึงไม่อยู่ในอำนาจของศาลปกครอง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7938F1">
        <w:rPr>
          <w:rFonts w:eastAsia="Cordia New"/>
          <w:b/>
          <w:bCs/>
          <w:sz w:val="32"/>
          <w:szCs w:val="32"/>
          <w:lang w:eastAsia="zh-CN"/>
        </w:rPr>
        <w:t>3.</w:t>
      </w:r>
      <w:r w:rsidRPr="007938F1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คดีที่อยู่ในอำนาจของศาลชำนัญพิเศษ</w:t>
      </w:r>
      <w:r>
        <w:rPr>
          <w:rFonts w:eastAsia="Cordia New" w:hint="cs"/>
          <w:sz w:val="32"/>
          <w:szCs w:val="32"/>
          <w:cs/>
          <w:lang w:eastAsia="zh-CN"/>
        </w:rPr>
        <w:t xml:space="preserve"> อันได้แก่ คดีที่อยู่ในอำนาจของศาลเยาวชนและครอบครัว ศาลแรงงาน ศาลภาษีอากร ศาลทรัพย์สินทางปัญญาและการค้าระหว่างประเทศ ศาลล้มละลาย และศาลชำนัญพิเศษอื่น ย่อมเป็นคดีที่อยู่ในอำนาจพิจารณาพิพากษาของศาลชำนัญพิเศษนั้นโดยเฉพาะอยู่แล้ว จึงไม่อยู่ในอำนาจของศาลปกครอง เช่น การฟ้องคดีเรื่องเงินทดแทนตามพระราชบัญญัติเงินทดแทน พ.ศ. </w:t>
      </w:r>
      <w:r>
        <w:rPr>
          <w:rFonts w:eastAsia="Cordia New"/>
          <w:sz w:val="32"/>
          <w:szCs w:val="32"/>
          <w:lang w:eastAsia="zh-CN"/>
        </w:rPr>
        <w:t>2537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เป็นคดีที่อยู่ในอำนาจพิจารณาพิพากษาของศาลแรงงาน หรือการโต้แย้งการดำเนินการของเจ้าพนักงานพิทักษ์ทรัพย์ เป็นคดีที่อยู่ในอำนาจพิจารณาพิพากษาของศาลล้มละลาย 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Pr="00EC66B1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EC66B1">
        <w:rPr>
          <w:rFonts w:eastAsia="Calibri"/>
          <w:b/>
          <w:bCs/>
          <w:sz w:val="32"/>
          <w:szCs w:val="32"/>
        </w:rPr>
        <w:t>4.2</w:t>
      </w:r>
      <w:r w:rsidRPr="00EC66B1">
        <w:rPr>
          <w:rFonts w:eastAsia="Calibri" w:hint="cs"/>
          <w:b/>
          <w:bCs/>
          <w:sz w:val="32"/>
          <w:szCs w:val="32"/>
          <w:cs/>
        </w:rPr>
        <w:t xml:space="preserve"> กรณีที่มีกฎหมายพิเศษตัดอำนาจของศาลปกครองโดยเฉพาะ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นอกจากบทบัญญัติมาตรา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วรรคสอง แห่งกฎหมายว่าด้วยการจัดตั้งศาลปกครองฯ แล้ว ยังมีกรณีที่มี “กฎหมายพิเศษ” ตัดอำนาจของศาลปกครองโดยเฉพาะ กล่าวคือ มีบทบัญญัติแห่งกฎหมายกำหนดไว้ในลักษณะที่ </w:t>
      </w:r>
      <w:r w:rsidRPr="00C91129">
        <w:rPr>
          <w:rFonts w:eastAsia="Cordia New" w:hint="cs"/>
          <w:i/>
          <w:iCs/>
          <w:sz w:val="32"/>
          <w:szCs w:val="32"/>
          <w:cs/>
          <w:lang w:eastAsia="zh-CN"/>
        </w:rPr>
        <w:t>“ไม่ให้นำ”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กฎหมายว่าด้วยการจัดตั้งศาลปกครองฯ มาใช้บังคับ หรือมีกฎหมายกำหนดไว้โดยชัดแจ้งให้การกระทำทางปกครองบางประเภทเป็นคดีพิพาทที่อยู่ในอำนาจพิจารณาพิพากษาของศาลอื่น เช่น</w:t>
      </w:r>
    </w:p>
    <w:p w:rsidR="002D3546" w:rsidRPr="00C91129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91129">
        <w:rPr>
          <w:rFonts w:eastAsia="Cordia New"/>
          <w:b/>
          <w:bCs/>
          <w:sz w:val="32"/>
          <w:szCs w:val="32"/>
          <w:lang w:eastAsia="zh-CN"/>
        </w:rPr>
        <w:t>1.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มาตรา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16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แห่งพระราชกำหนดบริหารราชการในสถานการณ์ฉุกเฉิน พ.ศ.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2548</w:t>
      </w:r>
    </w:p>
    <w:p w:rsidR="002D3546" w:rsidRPr="00C91129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cs/>
          <w:lang w:eastAsia="zh-CN"/>
        </w:rPr>
      </w:pPr>
      <w:r w:rsidRPr="00C91129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คำสั่งศาลปกครองสูงสุดที่ </w:t>
      </w:r>
      <w:r w:rsidRPr="00C91129">
        <w:rPr>
          <w:rFonts w:eastAsia="Cordia New"/>
          <w:b/>
          <w:bCs/>
          <w:i/>
          <w:iCs/>
          <w:sz w:val="32"/>
          <w:szCs w:val="32"/>
          <w:lang w:eastAsia="zh-CN"/>
        </w:rPr>
        <w:t>33/2552</w:t>
      </w:r>
      <w:r w:rsidRPr="00C9112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การที่ผู้ถูกฟ้องคดีซึ่งเป็นผู้บังคับบัญชาของผู้ฟ้องคดีใช้อำนาจตรวจค้นทรัพย์สินและยึดอาวุธของผู้ฟ้องคดี กรณีมีเหตุสงสัยว่าได้ใช้หรือจะใช้สิ่งดังกล่าวเพื่อกระทำการหรือสนับสนุนการกระทำให้เกิดเหตุการณ์ฉุกเฉิน เนื่องจากผู้ฟ้องคดีตกเป็นผู้ต้องสงสัยว่านำความลับของราชการไปเปิดเผยต่อผู้ก่อความไม่สงบในจังหวัดชายแดนภาคใต้ การกระทำของผู้ถูกฟ้องคดีเป็นการใช้อำนาจตามพระราชกำหนดบริหารราชการในสถานการณ์ฉุกเฉินฯ จึงไม่อยู่ในอำนาจพิจารณาพิพากษาของศาลปกครอง</w:t>
      </w:r>
    </w:p>
    <w:p w:rsidR="002D3546" w:rsidRPr="00C91129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91129">
        <w:rPr>
          <w:rFonts w:eastAsia="Cordia New"/>
          <w:b/>
          <w:bCs/>
          <w:sz w:val="32"/>
          <w:szCs w:val="32"/>
          <w:lang w:eastAsia="zh-CN"/>
        </w:rPr>
        <w:t>2.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มาตรา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11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แห่งพระราชกำหนดบรรษัทบริหารสินทรัพย์ไทย พ.ศ.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2544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</w:t>
      </w:r>
    </w:p>
    <w:p w:rsidR="002D3546" w:rsidRPr="00C91129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C91129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คำสั่งศาลปกครองสูงสุดที่ </w:t>
      </w:r>
      <w:r w:rsidRPr="00C91129">
        <w:rPr>
          <w:rFonts w:eastAsia="Cordia New"/>
          <w:b/>
          <w:bCs/>
          <w:i/>
          <w:iCs/>
          <w:sz w:val="32"/>
          <w:szCs w:val="32"/>
          <w:lang w:eastAsia="zh-CN"/>
        </w:rPr>
        <w:t>531/2552</w:t>
      </w:r>
      <w:r w:rsidRPr="00C9112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กรณีที่ฟ้องว่าบรรษัทบริหารสินทรัพย์ไทย (บสท.) ไม่แจ้งผลการพิจารณาคัดค้านของผู้ฟ้องคดีก่อนการดำเนินการขายทอดตลาดที่ดินของผู้ฟ้องคดี เป็นเหตุให้ผู้ฟ้องคดีเสียสิทธิในทรัพย์ไป อันเป็นการโต้แย้งว่า บสท. ดำเนินการจำหน่ายทรัพย์สินที่เป็นหลักประกันของผู้ฟ้องคดีไม่ชอบด้วยกฎหมาย ย่อมเป็นข้อพิพาทที่สืบเนื่องมาจากการดำเนินการเกี่ยวกับการบริหารสินทรัพย์ด้อยคุณภาพของ บสท. ซึ่งไม่อยู่ในอำนาจพิจารณาพิพากษาของศาลปกครอง ทั้งนี้ ตามมาตรา </w:t>
      </w:r>
      <w:r w:rsidRPr="00C91129">
        <w:rPr>
          <w:rFonts w:eastAsia="Cordia New"/>
          <w:i/>
          <w:iCs/>
          <w:sz w:val="32"/>
          <w:szCs w:val="32"/>
          <w:lang w:eastAsia="zh-CN"/>
        </w:rPr>
        <w:t>11</w:t>
      </w:r>
      <w:r w:rsidRPr="00C9112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แห่งพระราชกำหนดบรรษัทบริหารสินทรัพย์ไทยฯ</w:t>
      </w:r>
    </w:p>
    <w:p w:rsidR="002D3546" w:rsidRPr="00C91129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C91129">
        <w:rPr>
          <w:rFonts w:eastAsia="Cordia New"/>
          <w:b/>
          <w:bCs/>
          <w:sz w:val="32"/>
          <w:szCs w:val="32"/>
          <w:lang w:eastAsia="zh-CN"/>
        </w:rPr>
        <w:t>3.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มาตรา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23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วรรคสอง แห่งพระราชบัญญัติการรักษาความมั่นคงภายในราชอาณาจักร พ.ศ. </w:t>
      </w:r>
      <w:r w:rsidRPr="00C91129">
        <w:rPr>
          <w:rFonts w:eastAsia="Cordia New"/>
          <w:b/>
          <w:bCs/>
          <w:sz w:val="32"/>
          <w:szCs w:val="32"/>
          <w:lang w:eastAsia="zh-CN"/>
        </w:rPr>
        <w:t>2551</w:t>
      </w:r>
      <w:r w:rsidRPr="00C91129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</w:t>
      </w:r>
    </w:p>
    <w:p w:rsidR="002D3546" w:rsidRPr="00BA556B" w:rsidRDefault="002D3546" w:rsidP="002D3546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BA556B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lastRenderedPageBreak/>
        <w:t>คำสั่งศาลปกครองสูงสุดที่ ฟ.</w:t>
      </w:r>
      <w:r w:rsidRPr="00BA556B">
        <w:rPr>
          <w:rFonts w:eastAsia="Cordia New"/>
          <w:b/>
          <w:bCs/>
          <w:i/>
          <w:iCs/>
          <w:sz w:val="32"/>
          <w:szCs w:val="32"/>
          <w:lang w:eastAsia="zh-CN"/>
        </w:rPr>
        <w:t>32/2552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มติของคณะรัฐมนตรีเมื่อวันที่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สิงหาคม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2552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ที่อนุมัติหรือเห็นชอบให้มีการประกาศใช้พระราชบัญญัติการรักษาความมั่นคงภายในราชอาณาจักร พ.ศ.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2551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ในพื้นที่เขตดุสิต และมติให้กองอำนวยการรักษาความมั่นคงภายในราชอาณาจักรเป็นผู้รับผิดชอบในการป้องกัน ปราบปราม ระงับ ยับยั้ง และจัดทำแผนการดำเนินการในการบูรณาการ กำกับ ติดตาม และเร่งรัดหน่วยงานของรัฐและเจ้าหน้าที่ของรัฐที่เกี่ยวข้องให้ดำเนินการให้เป็นไปตามแผนที่กำหนด รวมทั้งจัดตั้งศูนย์อำนวยการหน่วยงานที่เรียกชื่ออย่างอื่นเพื่อปฏิบัติภารกิจนั้นเป็นการเฉพาะนั้น ถือเป็นมติที่อาศัยอำนาจตามมาตรา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15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แห่งพระราชบัญญัติการรักษาความมั่นคงภายในราชอาณาจักร พ.ศ.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2551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ซึ่งเป็นเพียงการมอบหมายให้กองอำนวยการรักษาความมั่นคงภายในราชอาณาจักรเป็นผู้รับผิดชอบต่อเหตุการณ์ที่กระทบต่อความมั่นคงภายในราชอาณาจักรในพื้นที่เขตดุสิต กรุงเทพมหานคร เพื่อให้กองอำนวยการรักษาความมั่นคงภายในราชอาณาจักรมีอำนาจออกข้อกำหนดโดยความเห็นชอบของคณะรัฐมนตรีตาม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18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แห่งพระราชบัญญัติดังกล่าว ดังนั้น มติดังกล่าวจึงเป็นเพียงการมอบหมายให้กองอำนวยการรักษาความมั่นคงภายในราชอาณาจักรมีอำนาจตามพระราชบัญญัติการรักษาความมั่นคงภายในราชอาณาจักร พ.ศ.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2551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ไม่มีผลบังคับเป็นการทั่วไปที่มีสภาพเป็นกฎตามมาตรา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3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แห่งกฎหมายว่าด้วยการจัดตั้งศาลปกครองฯ และมิใช่เป็นกฎที่ออกโดยคณะรัฐมนตรีหรือโดยความเห็นชอบของคณะรัฐมนตรี การที่ผู้ฟ้องคดีขอให้ศาลเพิกถอนมติดังกล่าว จึงไม่อยู่ในอำนาจพิจารณาพิพากษาของศาลปกครองสูงสุดตามมาตรา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11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แห่งพระราชบัญญัติดังกล่าว ส่วนที่ผู้ฟ้องคดีฟ้องว่ากองอำนวยการรักษาความมั่นคงภายในราชอาณาจักรได้ออกข้อกำหนดโดยความเห็นชอบของคณะรัฐมนตรีตาม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18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แห่งพระราชบัญญัติการรักษาความมั่นคงภายในราชอาณาจักร พ.ศ.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2551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โดยไม่ชอบด้วยกฎหมายนั้น บทบัญญัติมาตรา </w:t>
      </w:r>
      <w:r w:rsidRPr="00BA556B">
        <w:rPr>
          <w:rFonts w:eastAsia="Cordia New"/>
          <w:i/>
          <w:iCs/>
          <w:sz w:val="32"/>
          <w:szCs w:val="32"/>
          <w:lang w:eastAsia="zh-CN"/>
        </w:rPr>
        <w:t>23</w:t>
      </w:r>
      <w:r w:rsidRPr="00BA556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วรรคสอง แห่งพระราชบัญญัติเดียวกันได้บัญญัติว่าการดำเนินคดีใด ๆ อันเนื่องมาจากข้อกำหนด ประกาศ คำสั่ง หรือการกระทำ ให้อยู่ในอำนาจของศาลยุติธรรม ดังนั้น ศาลปกครองจึงไม่อาจรับคำฟ้องของผู้ฟ้องคดีไว้พิจารณาพิพากษาได้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</w:p>
    <w:p w:rsidR="002D3546" w:rsidRPr="00BA556B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BA556B">
        <w:rPr>
          <w:rFonts w:eastAsia="Calibri"/>
          <w:b/>
          <w:bCs/>
          <w:sz w:val="32"/>
          <w:szCs w:val="32"/>
        </w:rPr>
        <w:t>4.3</w:t>
      </w:r>
      <w:r w:rsidRPr="00BA556B">
        <w:rPr>
          <w:rFonts w:eastAsia="Calibri" w:hint="cs"/>
          <w:b/>
          <w:bCs/>
          <w:sz w:val="32"/>
          <w:szCs w:val="32"/>
          <w:cs/>
        </w:rPr>
        <w:t xml:space="preserve"> กรณีที่ศาลปกครองมีแนวคำวินิจฉัยว่าไม่อยู่ในอำนาจของศาลปกครอง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กรณีที่ศาลได้มีแนวคำวินิจฉัยว่าเป็นลักษณะของประเภทคดีที่ไม่อยู่ในอำนาจพิจารณาพิพากษาของศาลปกครอง มีดังต่อไปนี้</w:t>
      </w:r>
    </w:p>
    <w:p w:rsidR="002D3546" w:rsidRPr="00BA556B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BA556B">
        <w:rPr>
          <w:rFonts w:eastAsia="Cordia New"/>
          <w:b/>
          <w:bCs/>
          <w:sz w:val="32"/>
          <w:szCs w:val="32"/>
          <w:lang w:eastAsia="zh-CN"/>
        </w:rPr>
        <w:t>1.</w:t>
      </w:r>
      <w:r w:rsidRPr="00BA556B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การกระทำของรัฐบาล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1.1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ความสัมพันธ์ระหว่างฝ่ายบริหารกับฝ่ายนิติบัญญัติ เช่น การฟ้องขอให้ยกเลิกหรือเพิกถอนพระราชกฤษฎีกายุบสภาผู้แทนราษฎร ไม่อยู่ในอำนาจพิจารณาพิพากษาของศาลปกครอง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1.2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ความสัมพันธ์ระหว่างประเทศ เช่น การลงนามบันทึกข้อตกลงหรือบันทึกความเข้าใจระหว่างประเทศ ซึ่งเป็นการกระทำในฐานะตัวแทนของรัฐในเรื่องความสัมพันธ์ระหว่างประเทศ การยกเลิกหรือเพิกถอนบันทึกข้อตกลงหรือบันทึกความเข้าใจระหว่างประเทศนั้นถือเป็นเรื่องของรัฐหรือผู้แทนของรัฐที่จะเป็นผู้มีอำนาจดำเนินการ จึงมิใช่การกระทำทางปกครองที่อยู่ในอำนาจพิจารณาพิพากษาของศาลปกครอง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E74AC">
        <w:rPr>
          <w:rFonts w:eastAsia="Cordia New"/>
          <w:b/>
          <w:bCs/>
          <w:sz w:val="32"/>
          <w:szCs w:val="32"/>
          <w:lang w:eastAsia="zh-CN"/>
        </w:rPr>
        <w:lastRenderedPageBreak/>
        <w:t>2.</w:t>
      </w:r>
      <w:r w:rsidRPr="008E74AC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กระบวนการทางนิติบัญญัติ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 xml:space="preserve">เช่น การฟ้องคดีขอให้ยกเลิกหรือแก้ไขพระราชบัญญัติที่ผ่านความเห็นชอบของรัฐสภาซึ่งเป็นการใช้อำนาจทางนิติบัญญัติของฝ่ายนิติบัญญัติ ไม่ถือเป็นคดีพิพาทเกี่ยวกับการกระทำทางปกครองที่อยู่ในอำนาจพิจารณาพิพากษาของศาลปกครอง 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E74AC">
        <w:rPr>
          <w:rFonts w:eastAsia="Cordia New"/>
          <w:b/>
          <w:bCs/>
          <w:sz w:val="32"/>
          <w:szCs w:val="32"/>
          <w:lang w:eastAsia="zh-CN"/>
        </w:rPr>
        <w:t>3.</w:t>
      </w:r>
      <w:r w:rsidRPr="008E74AC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การพิพากษาของศาลและการบังคับคดีตามคำพิพากษา</w:t>
      </w:r>
      <w:r>
        <w:rPr>
          <w:rFonts w:eastAsia="Cordia New" w:hint="cs"/>
          <w:sz w:val="32"/>
          <w:szCs w:val="32"/>
          <w:cs/>
          <w:lang w:eastAsia="zh-CN"/>
        </w:rPr>
        <w:t xml:space="preserve"> ผู้พิพากษาย่อมมีอิสระในการพิจารณาพิพากษาอรรถคดีให้เป็นไปตามรัฐธรรมนูญและกฎหมาย ซึ่งถือเป็นการใช้อำนาจตุลาการตามรัฐธรรมนูญ ดังนั้น การฟ้องคดีขอให้วินิจฉัยความชอบด้วยกฎหมายในกระบวนพิจารณาคดีของศาลยุติธรรมซึ่งเป็นการใช้อำนาจทางตุลาการนั้น จึงมิใช่เป็นการใช้อำนาจทางปกครองหรือการดำเนินกิจการทางปกครองที่จะอยู่ในอำนาจพิจารณาพิพากษาของศาลปกครอง 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นอกจากนี้ กระบวนการบังคับคดีตามคำพิพากษาของศาลในคดีแพ่ง ถือเป็นการใช้อำนาจของเจ้าหน้าที่กรมบังคับคดีตามประมวลกฎหมายวิธีพิจารณาความแพ่ง จึงมิใช่เป็นการใช้อำนาจทางปกครอง ย่อมไม่เป็นคดีพิพาทที่อยู่ในอำนาจของศาลปกครองจะรับไว้พิจารณาเช่นกัน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E74AC">
        <w:rPr>
          <w:rFonts w:eastAsia="Cordia New"/>
          <w:b/>
          <w:bCs/>
          <w:sz w:val="32"/>
          <w:szCs w:val="32"/>
          <w:lang w:eastAsia="zh-CN"/>
        </w:rPr>
        <w:t xml:space="preserve">4. </w:t>
      </w:r>
      <w:r w:rsidRPr="008E74AC">
        <w:rPr>
          <w:rFonts w:eastAsia="Cordia New" w:hint="cs"/>
          <w:b/>
          <w:bCs/>
          <w:sz w:val="32"/>
          <w:szCs w:val="32"/>
          <w:cs/>
          <w:lang w:eastAsia="zh-CN"/>
        </w:rPr>
        <w:t>การดำเนินกิจการทางศาสนาและการปกครองสงฆ์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ในความสัมพันธ์ระหว่างบุคคลที่นับถือศาสนาและการดำเนินการต่าง ๆ ขององค์กรทางศาสนา ถือเป็นการดำเนินการเกี่ยวกับกิจการทางศาสนา ย่อมไม่ถือเป็นการกระทำทางปกครอง เช่น การที่สำนักจุฬาราชมนตรีซึ่งเป็นองค์กรทางศาสนาอิสลามออกประกาศที่เกี่ยวกับกิจกรรมสำคัญของศาสนาอิสลามเพื่อให้มุสลิมทั่วประเทศปฏิบัตินั้น ถือเป็นการดำเนินการเกี่ยวกับกิจการทางศาสนา จึงมิใช่การกระทำทางปกครองที่จะอยู่ภายใต้การตรวจสอบของศาลปกครอง เป็นต้น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C1233B">
        <w:rPr>
          <w:rFonts w:eastAsia="Cordia New"/>
          <w:b/>
          <w:bCs/>
          <w:sz w:val="32"/>
          <w:szCs w:val="32"/>
          <w:lang w:eastAsia="zh-CN"/>
        </w:rPr>
        <w:t>5.</w:t>
      </w:r>
      <w:r w:rsidRPr="00C1233B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กระบวนการยุติธรรมทางอาญา</w:t>
      </w:r>
      <w:r>
        <w:rPr>
          <w:rFonts w:eastAsia="Cordia New" w:hint="cs"/>
          <w:sz w:val="32"/>
          <w:szCs w:val="32"/>
          <w:cs/>
          <w:lang w:eastAsia="zh-CN"/>
        </w:rPr>
        <w:t xml:space="preserve"> ได้แก่ การใช้อำนาจตามประมวลกฎหมายวิธีพิจารณาความอาญา ซึ่งเริ่มตั้งแต่การจับกุม การแจ้งข้อหา การสอบสวน การให้ประกันตัว และการพิจารณาเสนอความเห็นต่อพนักงานอัยการเพื่อให้มีคำสั่งฟ้องหรือไม่ฟ้องคดีอาญา ล้วนเป็นขั้นตอนการดำเนินการเพื่อนำไปสู่การลงโทษผู้กระทำความผิดทางอาญาอันเป็นกระบวนการยุติธรรมทางอาญา จึงมิใช่เป็นการใช้อำนาจทางปกครองของเจ้าหน้าที่ของรัฐหรือการดำเนินการทางปกครอง และไม่เป็นคดีที่อยู่ในอำนาจพิจารณาพิพากษาของศาลปกครอง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5E5AAF">
        <w:rPr>
          <w:rFonts w:eastAsia="Cordia New"/>
          <w:b/>
          <w:bCs/>
          <w:sz w:val="32"/>
          <w:szCs w:val="32"/>
          <w:lang w:eastAsia="zh-CN"/>
        </w:rPr>
        <w:t>6.</w:t>
      </w:r>
      <w:r w:rsidRPr="005E5AAF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กระบวนการยุติธรรมทางแพ่ง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การฟ้องคดีขอให้เปิดทางสาธารณะซึ่งเป็นการโต้แย้งสิทธิเกี่ยวกับภาระจำยอมอันเป็นคดีพิพาททางแพ่ง หรือการฟ้องคดีของฝ่ายปกครองเพื่อให้คู่สัญญาอีกฝ่ายหนึ่งแก้ไขข้อสัญญาเช่าอาคารเดิมหรือเพื่อขอให้ทำสัญญาเช่าอาคารฉบับใหม่ขึ้น เป็นต้น ถือเป็นข้อพิพาทในทางแพ่ง ซึ่งมิได้มีลักษณะเป็นคำสั่งทางปกครองอันมีผลกระทบต่อสิทธิหรือหน้าที่ของบุคคลแต่อย่างใด จึงไม่ถือเป็นคดีที่อยู่ในอำนาจพิจารณาพิพากษาของศาลปกครอง </w:t>
      </w:r>
    </w:p>
    <w:p w:rsidR="002D3546" w:rsidRPr="005E5AAF" w:rsidRDefault="002D3546" w:rsidP="002D3546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5E5AAF">
        <w:rPr>
          <w:rFonts w:eastAsia="Cordia New"/>
          <w:b/>
          <w:bCs/>
          <w:sz w:val="32"/>
          <w:szCs w:val="32"/>
          <w:lang w:eastAsia="zh-CN"/>
        </w:rPr>
        <w:t>7.</w:t>
      </w:r>
      <w:r w:rsidRPr="005E5AAF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การปฏิบัติหน้าที่ทั่วไป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“การปฏิบัติหน้าที่ทั่วไป” หมายถึง การปฏิบัติหน้าที่ที่มิได้เกิดจากการใช้อำนาจตามกฎหมาย ซึ่งศาลปกครองสูงสุดมีแนวคำวินิจฉัยเกี่ยวกับการปฏิบัติหน้าที่ทั่วไปที่ไม่อยู่ในอำนาจพิจารณาพิพากษาของศาลปกครอง เช่น</w:t>
      </w:r>
      <w:bookmarkStart w:id="0" w:name="_GoBack"/>
      <w:bookmarkEnd w:id="0"/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7.1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การรักษาพยาบาล เช่น การสั่งจ่ายยาให้ผู้ป่วย การสั่งย้ายผู้ป่วยไปรักษาต่อที่สถานพยาบาลอื่น การใช้หรือไม่ใช้วัสดุหรืออุปกรณ์ทางการแพทย์ หรือการเรียกเก็บเงินจากผู้ป่วย ล้วนเป็นการปฏิบัติหน้าที่ทั่วไปทางการแพทย์ในการรักษาพยาบาล ไม่ถือเป็นการใช้อำนาจตามกฎหมายหรือการใช้อำนาจทางปกครองแต่อย่างใด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lastRenderedPageBreak/>
        <w:tab/>
      </w:r>
      <w:r>
        <w:rPr>
          <w:rFonts w:eastAsia="Cordia New"/>
          <w:sz w:val="32"/>
          <w:szCs w:val="32"/>
          <w:lang w:eastAsia="zh-CN"/>
        </w:rPr>
        <w:t>7.2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การขับรถ เช่น การฟ้องคดีพนักงานขับรถของส่วนราชการอันเนื่องมาจากการกระทำละเมิดของเจ้าหน้าที่ของรัฐ ถือเป็นการปฏิบัติหน้าที่ราชการทั่วไป มิได้เกิดจากการใช้อำนาจตามกฎหมาย จึงต้องเรียกร้องค่าสินไหมทดแทนต่อศาลยุติธรรม และไม่ถือเป็นคดีพิพาทที่อยู่ในอำนาจพิจารณาพิพากษาของศาลปกครอง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7.3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การดูแลรักษาที่ราชพัสดุ เช่น กรณีที่หน่วยงานของรัฐมีหน้าที่ดูแลรักษาผลประโยชน์ในที่ราชพัสดุตามกฎกระทรวงว่าด้วยหลักเกณฑ์และวิธีการปกครอง ดูแล บำรุงรักษา ใช้และจัดหาประโยชน์เกี่ยวกับที่ราชพัสดุ พ.ศ. </w:t>
      </w:r>
      <w:r>
        <w:rPr>
          <w:rFonts w:eastAsia="Cordia New"/>
          <w:sz w:val="32"/>
          <w:szCs w:val="32"/>
          <w:lang w:eastAsia="zh-CN"/>
        </w:rPr>
        <w:t>2545</w:t>
      </w:r>
      <w:r>
        <w:rPr>
          <w:rFonts w:eastAsia="Cordia New" w:hint="cs"/>
          <w:sz w:val="32"/>
          <w:szCs w:val="32"/>
          <w:cs/>
          <w:lang w:eastAsia="zh-CN"/>
        </w:rPr>
        <w:t xml:space="preserve"> ที่กำหนดวิธีการดูแลรักษาผลประโยชน์ในที่ราชพัสดุ อันมีลักษณะเป็นการปฏิบัติหน้าที่ทั่วไปเช่นเดียวกับเอกชนผู้เป็นเจ้าของที่ดินที่พึงต้องกระทำการใด ๆ เพื่อรักษาผลประโยชน์ในที่ดินของตน ข้อพิพาทที่เกิดขึ้นจากการกระทำดังกล่าวจึงมิใช่คดีพิพาทอันเกิดจากการใช้อำนาจของรัฐตามกฎหมาย และไม่เป็นคดีพิพาทที่อยู่ในอำนาจของศาลปกครอง</w:t>
      </w:r>
    </w:p>
    <w:p w:rsidR="002D3546" w:rsidRDefault="002D3546" w:rsidP="002D3546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ab/>
        <w:t>7.4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การแจ้งความร้องทุกข์ เช่น การแจ้งความร้องทุกข์เพื่อให้ดำเนินคดีอาญาแก่ผู้บุกรุกป่าไม้ เป็นการปฏิบัติหน้าที่ทั่วไปตามปกติตามสิทธิของกรมอุทยานแห่งชาติ สัตว์ป่า และพันธุ์พืช ที่มีอยู่ตามมาตรา </w:t>
      </w:r>
      <w:r>
        <w:rPr>
          <w:rFonts w:eastAsia="Cordia New"/>
          <w:sz w:val="32"/>
          <w:szCs w:val="32"/>
          <w:lang w:eastAsia="zh-CN"/>
        </w:rPr>
        <w:t>54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และมาตรา </w:t>
      </w:r>
      <w:r>
        <w:rPr>
          <w:rFonts w:eastAsia="Cordia New"/>
          <w:sz w:val="32"/>
          <w:szCs w:val="32"/>
          <w:lang w:eastAsia="zh-CN"/>
        </w:rPr>
        <w:t>72</w:t>
      </w:r>
      <w:r>
        <w:rPr>
          <w:rFonts w:eastAsia="Cordia New" w:hint="cs"/>
          <w:sz w:val="32"/>
          <w:szCs w:val="32"/>
          <w:cs/>
          <w:lang w:eastAsia="zh-CN"/>
        </w:rPr>
        <w:t xml:space="preserve"> ตรี แห่งพระราชบัญญัติป่าไม้ พุทธศักราช </w:t>
      </w:r>
      <w:r>
        <w:rPr>
          <w:rFonts w:eastAsia="Cordia New"/>
          <w:sz w:val="32"/>
          <w:szCs w:val="32"/>
          <w:lang w:eastAsia="zh-CN"/>
        </w:rPr>
        <w:t>2484</w:t>
      </w:r>
      <w:r>
        <w:rPr>
          <w:rFonts w:eastAsia="Cordia New" w:hint="cs"/>
          <w:sz w:val="32"/>
          <w:szCs w:val="32"/>
          <w:cs/>
          <w:lang w:eastAsia="zh-CN"/>
        </w:rPr>
        <w:t xml:space="preserve"> ดังนั้น การแจ้งความร้องทุกข์ต่อพนักงานสอบสวนจึงถือเป็นการปฏิบัติหน้าที่ทั่วไปตามปกติ จึงเป็นคดีพิพาทที่อยู่ในอำนาจของศาลยุติธรรมในการเยียวยาความเสียหาย และไม่ถือเป็นคดีพาทที่อยู่ในอำนาจพิจารณาพิพากษาของศาลปกครอง</w:t>
      </w:r>
    </w:p>
    <w:p w:rsidR="002D3546" w:rsidRDefault="002D3546" w:rsidP="002D3546">
      <w:pPr>
        <w:ind w:firstLine="720"/>
        <w:jc w:val="thaiDistribute"/>
      </w:pPr>
      <w:r>
        <w:rPr>
          <w:rFonts w:eastAsia="Cordia New"/>
          <w:sz w:val="32"/>
          <w:szCs w:val="32"/>
          <w:cs/>
          <w:lang w:eastAsia="zh-CN"/>
        </w:rPr>
        <w:tab/>
      </w:r>
      <w:r>
        <w:rPr>
          <w:rFonts w:eastAsia="Cordia New"/>
          <w:sz w:val="32"/>
          <w:szCs w:val="32"/>
          <w:lang w:eastAsia="zh-CN"/>
        </w:rPr>
        <w:t>7.5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การหักเงินบำเหน็จบำนาญเพื่อชำระหนี้ตามคำขอ ได้แก่ การที่ส่วนราชการหักเงินบำเหน็จบำนาญปกติของผู้กู้เงินเพื่อชำระหนี้ให้แก่เจ้าหนี้ซึ่งเป็นบุคคลที่สามนั้น มิได้เกิดจากการใช้อำนาจทางปกครอง แต่เป็นไปตามคำขอของผู้รับบำเหน็จบำนาญปกติเท่านั้น ซึ่งการดำเนินการดังกล่าวไม่มีกฎหมายใดให้อำนาจหรือกำหนดให้เป็นหน้าที่ของส่วนราชการที่จะต้องหักเงินบำเหน็จบำนาญปกติเพื่อชำระหนี้ให้แก่เจ้าหนี้แต่อย่างใด ดังนั้น การที่ส่วนราชการไม่แจ้งกรมบัญชีกลางให้หักเงินบำเหน็จบำนาญปกติของผู้กู้เพื่อชำระหนี้ให้เจ้าหนี้ หรือได้แจ้งต่อกรมบัญชีกลางแล้ว แต่มิได้มีการหักเงินบำเหน็จบำนาญของผู้กู้เพื่อชำระหนี้ดังกล่าว จึงไม่ใช่กรณีที่เจ้าหน้าที่ของรัฐละเลยต่อหน้าที่ตามที่กฎหมายกำหนดให้ต้องปฏิบัติ อันจะถือเป็นคดีปกครองที่อยู่ในอำนาจของศาลปกครอง คดีจึงอยู่ในอำนาจพิจารณาพิพากษาของศาลยุติธรรม</w:t>
      </w:r>
    </w:p>
    <w:sectPr w:rsidR="002D3546" w:rsidSect="002D3546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7D" w:rsidRDefault="002D1D7D" w:rsidP="002D3546">
      <w:pPr>
        <w:spacing w:after="0" w:line="240" w:lineRule="auto"/>
      </w:pPr>
      <w:r>
        <w:separator/>
      </w:r>
    </w:p>
  </w:endnote>
  <w:endnote w:type="continuationSeparator" w:id="0">
    <w:p w:rsidR="002D1D7D" w:rsidRDefault="002D1D7D" w:rsidP="002D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7D" w:rsidRDefault="002D1D7D" w:rsidP="002D3546">
      <w:pPr>
        <w:spacing w:after="0" w:line="240" w:lineRule="auto"/>
      </w:pPr>
      <w:r>
        <w:separator/>
      </w:r>
    </w:p>
  </w:footnote>
  <w:footnote w:type="continuationSeparator" w:id="0">
    <w:p w:rsidR="002D1D7D" w:rsidRDefault="002D1D7D" w:rsidP="002D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6"/>
    <w:rsid w:val="002D1D7D"/>
    <w:rsid w:val="002D3546"/>
    <w:rsid w:val="004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322B-C98A-47AA-A26F-A47754F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3546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2D3546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2D354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2020-10-28T05:39:00Z</dcterms:created>
  <dcterms:modified xsi:type="dcterms:W3CDTF">2020-10-28T05:44:00Z</dcterms:modified>
</cp:coreProperties>
</file>